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0" w:type="auto"/>
        <w:jc w:val="center"/>
        <w:tblLayout w:type="fixed"/>
        <w:tblLook w:val="04A0" w:firstRow="1" w:lastRow="0" w:firstColumn="1" w:lastColumn="0" w:noHBand="0" w:noVBand="1"/>
      </w:tblPr>
      <w:tblGrid>
        <w:gridCol w:w="2263"/>
        <w:gridCol w:w="7082"/>
      </w:tblGrid>
      <w:tr w:rsidR="002B10DD" w:rsidRPr="00441E78" w14:paraId="0FF55763" w14:textId="77777777" w:rsidTr="002B10DD">
        <w:trPr>
          <w:jc w:val="center"/>
        </w:trPr>
        <w:tc>
          <w:tcPr>
            <w:tcW w:w="9345" w:type="dxa"/>
            <w:gridSpan w:val="2"/>
            <w:tcBorders>
              <w:bottom w:val="single" w:sz="4" w:space="0" w:color="auto"/>
            </w:tcBorders>
            <w:shd w:val="clear" w:color="auto" w:fill="D9D9D9" w:themeFill="background1" w:themeFillShade="D9"/>
          </w:tcPr>
          <w:p w14:paraId="0FF55762" w14:textId="085FFE9E" w:rsidR="002B10DD" w:rsidRPr="00441E78" w:rsidRDefault="00D35ACD" w:rsidP="00AF598E">
            <w:pPr>
              <w:pStyle w:val="Brdtekst"/>
              <w:spacing w:after="0"/>
              <w:rPr>
                <w:rFonts w:ascii="Times New Roman" w:hAnsi="Times New Roman" w:cs="Times New Roman"/>
                <w:b/>
              </w:rPr>
            </w:pPr>
            <w:bookmarkStart w:id="0" w:name="_GoBack"/>
            <w:bookmarkEnd w:id="0"/>
            <w:r>
              <w:rPr>
                <w:rFonts w:ascii="Times New Roman" w:hAnsi="Times New Roman" w:cs="Times New Roman"/>
                <w:b/>
              </w:rPr>
              <w:t>-</w:t>
            </w:r>
            <w:r w:rsidR="00AF598E" w:rsidRPr="00441E78">
              <w:rPr>
                <w:rFonts w:ascii="Times New Roman" w:hAnsi="Times New Roman" w:cs="Times New Roman"/>
                <w:b/>
              </w:rPr>
              <w:t>Overordnet:</w:t>
            </w:r>
          </w:p>
        </w:tc>
      </w:tr>
      <w:tr w:rsidR="00342B1D" w:rsidRPr="00441E78" w14:paraId="0FF55766" w14:textId="77777777" w:rsidTr="002B10DD">
        <w:trPr>
          <w:jc w:val="center"/>
        </w:trPr>
        <w:tc>
          <w:tcPr>
            <w:tcW w:w="2263" w:type="dxa"/>
            <w:shd w:val="clear" w:color="auto" w:fill="auto"/>
          </w:tcPr>
          <w:p w14:paraId="0FF55764" w14:textId="77777777" w:rsidR="00342B1D" w:rsidRPr="00441E78" w:rsidRDefault="00AF598E" w:rsidP="002B10DD">
            <w:pPr>
              <w:pStyle w:val="Brdtekst"/>
              <w:rPr>
                <w:rFonts w:ascii="Times New Roman" w:hAnsi="Times New Roman" w:cs="Times New Roman"/>
                <w:b/>
              </w:rPr>
            </w:pPr>
            <w:r w:rsidRPr="00441E78">
              <w:rPr>
                <w:rFonts w:ascii="Times New Roman" w:hAnsi="Times New Roman" w:cs="Times New Roman"/>
                <w:b/>
              </w:rPr>
              <w:t>Hensikt med dokumentet:</w:t>
            </w:r>
          </w:p>
        </w:tc>
        <w:tc>
          <w:tcPr>
            <w:tcW w:w="7082" w:type="dxa"/>
            <w:shd w:val="clear" w:color="auto" w:fill="auto"/>
          </w:tcPr>
          <w:p w14:paraId="0FF55765" w14:textId="28965367" w:rsidR="00342B1D" w:rsidRPr="00441E78" w:rsidRDefault="00746468" w:rsidP="00145FCF">
            <w:pPr>
              <w:pStyle w:val="Brdtekst"/>
              <w:rPr>
                <w:rFonts w:ascii="Times New Roman" w:hAnsi="Times New Roman" w:cs="Times New Roman"/>
              </w:rPr>
            </w:pPr>
            <w:r w:rsidRPr="00F442C4">
              <w:t>Formålet med denne handlingsplanen er å sikre samlet og helhetlig styring av NVEs totale tilsynsvirksomhet. Handlingsplanen konkretiserer de mål og tiltak som er satt i NVEs strategi</w:t>
            </w:r>
            <w:r>
              <w:t xml:space="preserve"> innenfor de ulike tilsynsområdene</w:t>
            </w:r>
            <w:r w:rsidRPr="00F442C4">
              <w:t>. Handlingsplanen må sees i sammenheng med planlagte revisjoner i 201</w:t>
            </w:r>
            <w:r w:rsidR="00145FCF">
              <w:t>8</w:t>
            </w:r>
            <w:r w:rsidRPr="00F442C4">
              <w:t xml:space="preserve">. </w:t>
            </w:r>
          </w:p>
        </w:tc>
      </w:tr>
      <w:tr w:rsidR="00342B1D" w:rsidRPr="00441E78" w14:paraId="0FF55769" w14:textId="77777777" w:rsidTr="002B10DD">
        <w:trPr>
          <w:jc w:val="center"/>
        </w:trPr>
        <w:tc>
          <w:tcPr>
            <w:tcW w:w="2263" w:type="dxa"/>
            <w:shd w:val="clear" w:color="auto" w:fill="auto"/>
          </w:tcPr>
          <w:p w14:paraId="0FF55767" w14:textId="77777777" w:rsidR="00342B1D" w:rsidRPr="00441E78" w:rsidRDefault="00342B1D" w:rsidP="002B10DD">
            <w:pPr>
              <w:pStyle w:val="Brdtekst"/>
              <w:rPr>
                <w:rFonts w:ascii="Times New Roman" w:hAnsi="Times New Roman" w:cs="Times New Roman"/>
                <w:b/>
              </w:rPr>
            </w:pPr>
            <w:r w:rsidRPr="00441E78">
              <w:rPr>
                <w:rFonts w:ascii="Times New Roman" w:hAnsi="Times New Roman" w:cs="Times New Roman"/>
                <w:b/>
              </w:rPr>
              <w:t>Målgruppe</w:t>
            </w:r>
            <w:r w:rsidR="00AF598E" w:rsidRPr="00441E78">
              <w:rPr>
                <w:rFonts w:ascii="Times New Roman" w:hAnsi="Times New Roman" w:cs="Times New Roman"/>
                <w:b/>
              </w:rPr>
              <w:t xml:space="preserve"> for dokumentet:</w:t>
            </w:r>
          </w:p>
        </w:tc>
        <w:tc>
          <w:tcPr>
            <w:tcW w:w="7082" w:type="dxa"/>
            <w:shd w:val="clear" w:color="auto" w:fill="auto"/>
          </w:tcPr>
          <w:p w14:paraId="0FF55768" w14:textId="77777777" w:rsidR="00342B1D" w:rsidRPr="00441E78" w:rsidRDefault="008B6D7A" w:rsidP="002B10DD">
            <w:pPr>
              <w:pStyle w:val="Brdtekst"/>
              <w:rPr>
                <w:rFonts w:ascii="Times New Roman" w:hAnsi="Times New Roman" w:cs="Times New Roman"/>
              </w:rPr>
            </w:pPr>
            <w:r>
              <w:rPr>
                <w:rFonts w:ascii="Times New Roman" w:hAnsi="Times New Roman" w:cs="Times New Roman"/>
              </w:rPr>
              <w:t>Vann- og energibransjen, NVE</w:t>
            </w:r>
          </w:p>
        </w:tc>
      </w:tr>
    </w:tbl>
    <w:p w14:paraId="0FF5576A" w14:textId="77777777" w:rsidR="00746468" w:rsidRPr="00FD1B76" w:rsidRDefault="00746468" w:rsidP="00746468">
      <w:pPr>
        <w:pStyle w:val="Overskrift1"/>
      </w:pPr>
      <w:r>
        <w:t>1</w:t>
      </w:r>
      <w:r>
        <w:tab/>
      </w:r>
      <w:r w:rsidRPr="00FD1B76">
        <w:t xml:space="preserve">Metoder </w:t>
      </w:r>
    </w:p>
    <w:p w14:paraId="0FF5576B" w14:textId="77777777" w:rsidR="00746468" w:rsidRDefault="00746468" w:rsidP="00746468">
      <w:pPr>
        <w:pStyle w:val="Overskrift1"/>
        <w:rPr>
          <w:b w:val="0"/>
          <w:bCs w:val="0"/>
          <w:kern w:val="0"/>
          <w:sz w:val="22"/>
          <w:szCs w:val="22"/>
        </w:rPr>
      </w:pPr>
      <w:r w:rsidRPr="00F442C4">
        <w:rPr>
          <w:b w:val="0"/>
          <w:bCs w:val="0"/>
          <w:kern w:val="0"/>
          <w:sz w:val="22"/>
          <w:szCs w:val="22"/>
        </w:rPr>
        <w:t xml:space="preserve">NVEs </w:t>
      </w:r>
      <w:r>
        <w:rPr>
          <w:b w:val="0"/>
          <w:bCs w:val="0"/>
          <w:kern w:val="0"/>
          <w:sz w:val="22"/>
          <w:szCs w:val="22"/>
        </w:rPr>
        <w:t>«Prosedyrer for kontro</w:t>
      </w:r>
      <w:r w:rsidR="002E59CF">
        <w:rPr>
          <w:b w:val="0"/>
          <w:bCs w:val="0"/>
          <w:kern w:val="0"/>
          <w:sz w:val="22"/>
          <w:szCs w:val="22"/>
        </w:rPr>
        <w:t>ll» og «Prosedyre for reaksjonsbruk i NVE</w:t>
      </w:r>
      <w:r>
        <w:rPr>
          <w:b w:val="0"/>
          <w:bCs w:val="0"/>
          <w:kern w:val="0"/>
          <w:sz w:val="22"/>
          <w:szCs w:val="22"/>
        </w:rPr>
        <w:t>»</w:t>
      </w:r>
      <w:r w:rsidR="00D66460">
        <w:rPr>
          <w:b w:val="0"/>
          <w:bCs w:val="0"/>
          <w:kern w:val="0"/>
          <w:sz w:val="22"/>
          <w:szCs w:val="22"/>
        </w:rPr>
        <w:t xml:space="preserve"> er grunnlaget for etatens tilsynsarbeid. Flere kontroll</w:t>
      </w:r>
      <w:r w:rsidRPr="00F442C4">
        <w:rPr>
          <w:b w:val="0"/>
          <w:bCs w:val="0"/>
          <w:kern w:val="0"/>
          <w:sz w:val="22"/>
          <w:szCs w:val="22"/>
        </w:rPr>
        <w:t>metode</w:t>
      </w:r>
      <w:r w:rsidR="00D66460">
        <w:rPr>
          <w:b w:val="0"/>
          <w:bCs w:val="0"/>
          <w:kern w:val="0"/>
          <w:sz w:val="22"/>
          <w:szCs w:val="22"/>
        </w:rPr>
        <w:t>r benyttes, men</w:t>
      </w:r>
      <w:r w:rsidRPr="00F442C4">
        <w:rPr>
          <w:b w:val="0"/>
          <w:bCs w:val="0"/>
          <w:kern w:val="0"/>
          <w:sz w:val="22"/>
          <w:szCs w:val="22"/>
        </w:rPr>
        <w:t xml:space="preserve"> revisjoner</w:t>
      </w:r>
      <w:r w:rsidR="00D66460">
        <w:rPr>
          <w:b w:val="0"/>
          <w:bCs w:val="0"/>
          <w:kern w:val="0"/>
          <w:sz w:val="22"/>
          <w:szCs w:val="22"/>
        </w:rPr>
        <w:t>, stedlige</w:t>
      </w:r>
      <w:r w:rsidRPr="00F442C4">
        <w:rPr>
          <w:b w:val="0"/>
          <w:bCs w:val="0"/>
          <w:kern w:val="0"/>
          <w:sz w:val="22"/>
          <w:szCs w:val="22"/>
        </w:rPr>
        <w:t xml:space="preserve"> inspeksjoner </w:t>
      </w:r>
      <w:r w:rsidR="00D66460">
        <w:rPr>
          <w:b w:val="0"/>
          <w:bCs w:val="0"/>
          <w:kern w:val="0"/>
          <w:sz w:val="22"/>
          <w:szCs w:val="22"/>
        </w:rPr>
        <w:t>og innrapportering er de mest vanlige</w:t>
      </w:r>
      <w:r w:rsidRPr="00F442C4">
        <w:rPr>
          <w:b w:val="0"/>
          <w:bCs w:val="0"/>
          <w:kern w:val="0"/>
          <w:sz w:val="22"/>
          <w:szCs w:val="22"/>
        </w:rPr>
        <w:t xml:space="preserve">. Andre kontrollaktiviteter kan være dokumentkontroll av innsendt materiale, Internettkontroll, butikk-kontroller av utstilte produkter og laboratoriekontroller. </w:t>
      </w:r>
      <w:r w:rsidR="00D66460">
        <w:rPr>
          <w:b w:val="0"/>
          <w:bCs w:val="0"/>
          <w:kern w:val="0"/>
          <w:sz w:val="22"/>
          <w:szCs w:val="22"/>
        </w:rPr>
        <w:t>Når avvik blir avdekket, blir hensiktsmessig reaksjon vurdert og vedtatt.</w:t>
      </w:r>
    </w:p>
    <w:p w14:paraId="0FF5576C" w14:textId="77777777" w:rsidR="00746468" w:rsidRDefault="00746468" w:rsidP="00746468">
      <w:pPr>
        <w:pStyle w:val="Brdtekst"/>
      </w:pPr>
    </w:p>
    <w:p w14:paraId="0FF5576D" w14:textId="4FE34CCB" w:rsidR="00746468" w:rsidRPr="00610BBC" w:rsidRDefault="00746468" w:rsidP="00746468">
      <w:pPr>
        <w:pStyle w:val="Overskrift1"/>
      </w:pPr>
      <w:r w:rsidRPr="00610BBC">
        <w:t>2</w:t>
      </w:r>
      <w:r w:rsidRPr="00610BBC">
        <w:tab/>
        <w:t xml:space="preserve">Prioriterte temaer og tilsynsobjekter </w:t>
      </w:r>
      <w:r>
        <w:t>i</w:t>
      </w:r>
      <w:r w:rsidRPr="00610BBC">
        <w:t xml:space="preserve"> 201</w:t>
      </w:r>
      <w:r w:rsidR="00BD2F75">
        <w:t>8</w:t>
      </w:r>
    </w:p>
    <w:p w14:paraId="0FF5576E" w14:textId="1B512FF2" w:rsidR="00746468" w:rsidRDefault="00D66460" w:rsidP="00746468">
      <w:pPr>
        <w:pStyle w:val="Brdtekst"/>
      </w:pPr>
      <w:r>
        <w:t>H</w:t>
      </w:r>
      <w:r w:rsidR="00746468">
        <w:t>andlingsplanen for 201</w:t>
      </w:r>
      <w:r w:rsidR="007372E3">
        <w:t>8</w:t>
      </w:r>
      <w:r w:rsidR="00746468">
        <w:t xml:space="preserve"> </w:t>
      </w:r>
      <w:r>
        <w:t xml:space="preserve">presenterer </w:t>
      </w:r>
      <w:r w:rsidR="00746468">
        <w:t>de temaene det vil være særskilt</w:t>
      </w:r>
      <w:r w:rsidR="00746468" w:rsidRPr="00610BBC">
        <w:t xml:space="preserve"> oppmerksomhet mot</w:t>
      </w:r>
      <w:r>
        <w:t>. Utvalget av temaene</w:t>
      </w:r>
      <w:r w:rsidR="00746468">
        <w:t xml:space="preserve"> for de enkelte fagområdene</w:t>
      </w:r>
      <w:r>
        <w:t xml:space="preserve"> er blant annet b</w:t>
      </w:r>
      <w:r w:rsidRPr="00610BBC">
        <w:t xml:space="preserve">asert </w:t>
      </w:r>
      <w:r>
        <w:t>på tildelingsbrev for 201</w:t>
      </w:r>
      <w:r w:rsidR="007372E3">
        <w:t>8</w:t>
      </w:r>
      <w:r>
        <w:t xml:space="preserve">, erfaringer og interne prioriteringer. </w:t>
      </w:r>
      <w:r w:rsidR="00746468">
        <w:t>For at handlingsplanen skal ha nogen</w:t>
      </w:r>
      <w:r w:rsidR="007372E3">
        <w:t xml:space="preserve"> </w:t>
      </w:r>
      <w:r w:rsidR="00746468">
        <w:t>lunde samme struktur som forventet årsrapport er områdene delt inn i de tre hovedkategoriene vassdrag, energiforsyning, og energimerking og energibruk.</w:t>
      </w:r>
    </w:p>
    <w:p w14:paraId="0FF5576F" w14:textId="77777777" w:rsidR="00EC7F07" w:rsidRDefault="008B6D7A" w:rsidP="009723B7">
      <w:pPr>
        <w:pStyle w:val="Brdtekst"/>
      </w:pPr>
      <w:r>
        <w:t>For hvert enkelt tilsynsområde er tilsynsobjektene valgt ut</w:t>
      </w:r>
      <w:r w:rsidR="00D66460">
        <w:t xml:space="preserve"> med henblikk på kriteriene</w:t>
      </w:r>
      <w:r w:rsidR="00EC7F07">
        <w:t xml:space="preserve">: </w:t>
      </w:r>
    </w:p>
    <w:p w14:paraId="0FF55770"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Risiko</w:t>
      </w:r>
    </w:p>
    <w:p w14:paraId="0FF55771"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Vesentlighet</w:t>
      </w:r>
    </w:p>
    <w:p w14:paraId="0FF55772"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Geografisk spredning</w:t>
      </w:r>
    </w:p>
    <w:p w14:paraId="0FF55773" w14:textId="77777777" w:rsidR="00EC7F07" w:rsidRPr="00EC7F07" w:rsidRDefault="00EC7F07" w:rsidP="009723B7">
      <w:pPr>
        <w:pStyle w:val="Brdtekst"/>
        <w:numPr>
          <w:ilvl w:val="0"/>
          <w:numId w:val="7"/>
        </w:numPr>
        <w:spacing w:after="0"/>
        <w:rPr>
          <w:rFonts w:ascii="Times New Roman" w:hAnsi="Times New Roman" w:cs="Times New Roman"/>
        </w:rPr>
      </w:pPr>
      <w:r w:rsidRPr="00EC7F07">
        <w:rPr>
          <w:rFonts w:ascii="Times New Roman" w:hAnsi="Times New Roman" w:cs="Times New Roman"/>
        </w:rPr>
        <w:t>Spredning mellom foretak av ulike størrelse og typer</w:t>
      </w:r>
    </w:p>
    <w:p w14:paraId="0FF55774" w14:textId="77777777" w:rsidR="00EC7F07" w:rsidRPr="00EC7F07" w:rsidRDefault="00EC7F07" w:rsidP="009723B7">
      <w:pPr>
        <w:pStyle w:val="Brdtekst"/>
        <w:numPr>
          <w:ilvl w:val="0"/>
          <w:numId w:val="7"/>
        </w:numPr>
        <w:rPr>
          <w:rFonts w:ascii="Times New Roman" w:hAnsi="Times New Roman" w:cs="Times New Roman"/>
        </w:rPr>
      </w:pPr>
      <w:r w:rsidRPr="00EC7F07">
        <w:rPr>
          <w:rFonts w:ascii="Times New Roman" w:hAnsi="Times New Roman" w:cs="Times New Roman"/>
        </w:rPr>
        <w:t>Erfaringer</w:t>
      </w:r>
    </w:p>
    <w:p w14:paraId="0FF55775" w14:textId="77777777" w:rsidR="00EC7F07" w:rsidRPr="00EC7F07" w:rsidRDefault="00EC7F07" w:rsidP="00EC7F07">
      <w:pPr>
        <w:rPr>
          <w:rFonts w:ascii="Times New Roman" w:hAnsi="Times New Roman" w:cs="Times New Roman"/>
          <w:iCs/>
        </w:rPr>
      </w:pPr>
    </w:p>
    <w:p w14:paraId="0FF55776" w14:textId="77777777" w:rsidR="00746468" w:rsidRDefault="00746468" w:rsidP="00746468">
      <w:pPr>
        <w:spacing w:line="240" w:lineRule="auto"/>
      </w:pPr>
    </w:p>
    <w:p w14:paraId="0FF55777" w14:textId="77777777" w:rsidR="00EC7F07" w:rsidRDefault="00EC7F07">
      <w:r>
        <w:br w:type="page"/>
      </w:r>
    </w:p>
    <w:p w14:paraId="0FF55778" w14:textId="77777777" w:rsidR="00746468" w:rsidRPr="00391A40" w:rsidRDefault="00746468" w:rsidP="00746468">
      <w:pPr>
        <w:pStyle w:val="Brdtekst"/>
        <w:numPr>
          <w:ilvl w:val="0"/>
          <w:numId w:val="5"/>
        </w:numPr>
      </w:pPr>
      <w:r>
        <w:lastRenderedPageBreak/>
        <w:t>Vassdrag</w:t>
      </w:r>
    </w:p>
    <w:p w14:paraId="0FF5578A" w14:textId="77777777" w:rsidR="00746468" w:rsidRDefault="00746468" w:rsidP="00746468"/>
    <w:tbl>
      <w:tblPr>
        <w:tblStyle w:val="Tabellrutenett3"/>
        <w:tblW w:w="9351" w:type="dxa"/>
        <w:tblLook w:val="04A0" w:firstRow="1" w:lastRow="0" w:firstColumn="1" w:lastColumn="0" w:noHBand="0" w:noVBand="1"/>
      </w:tblPr>
      <w:tblGrid>
        <w:gridCol w:w="2689"/>
        <w:gridCol w:w="6662"/>
      </w:tblGrid>
      <w:tr w:rsidR="007372E3" w:rsidRPr="00145FCF" w14:paraId="25AF8DE5" w14:textId="77777777" w:rsidTr="005B3BAD">
        <w:tc>
          <w:tcPr>
            <w:tcW w:w="2689" w:type="dxa"/>
            <w:shd w:val="clear" w:color="auto" w:fill="0D0D0D" w:themeFill="text1" w:themeFillTint="F2"/>
          </w:tcPr>
          <w:p w14:paraId="55610BAE" w14:textId="5170FB98" w:rsidR="007372E3" w:rsidRPr="00145FCF" w:rsidRDefault="005B3BAD" w:rsidP="007372E3">
            <w:pPr>
              <w:rPr>
                <w:color w:val="FFFFFF" w:themeColor="background1"/>
                <w:sz w:val="22"/>
                <w:szCs w:val="22"/>
              </w:rPr>
            </w:pPr>
            <w:r w:rsidRPr="00145FCF">
              <w:rPr>
                <w:color w:val="FFFFFF" w:themeColor="background1"/>
                <w:sz w:val="22"/>
                <w:szCs w:val="22"/>
              </w:rPr>
              <w:t>Sikkerhetskrav ved dammer og vassdragsanlegg</w:t>
            </w:r>
          </w:p>
        </w:tc>
        <w:tc>
          <w:tcPr>
            <w:tcW w:w="6662" w:type="dxa"/>
            <w:shd w:val="clear" w:color="auto" w:fill="0D0D0D" w:themeFill="text1" w:themeFillTint="F2"/>
          </w:tcPr>
          <w:p w14:paraId="070A0006" w14:textId="6689D9AF" w:rsidR="007372E3" w:rsidRPr="00145FCF" w:rsidRDefault="005B3BAD" w:rsidP="007372E3">
            <w:pPr>
              <w:rPr>
                <w:color w:val="FFFFFF" w:themeColor="background1"/>
                <w:sz w:val="22"/>
                <w:szCs w:val="22"/>
              </w:rPr>
            </w:pPr>
            <w:r w:rsidRPr="00145FCF">
              <w:rPr>
                <w:color w:val="FFFFFF" w:themeColor="background1"/>
                <w:sz w:val="22"/>
                <w:szCs w:val="22"/>
              </w:rPr>
              <w:t xml:space="preserve">Tilsyns- og beredskapsavdelingen – seksjon for damsikkerhet  </w:t>
            </w:r>
          </w:p>
        </w:tc>
      </w:tr>
      <w:tr w:rsidR="007372E3" w:rsidRPr="00145FCF" w14:paraId="43DF43EC" w14:textId="77777777" w:rsidTr="005B3BAD">
        <w:tc>
          <w:tcPr>
            <w:tcW w:w="2689" w:type="dxa"/>
          </w:tcPr>
          <w:p w14:paraId="5AE34802" w14:textId="77777777" w:rsidR="007372E3" w:rsidRPr="00145FCF" w:rsidRDefault="007372E3" w:rsidP="007372E3">
            <w:pPr>
              <w:rPr>
                <w:i/>
                <w:sz w:val="22"/>
                <w:szCs w:val="22"/>
              </w:rPr>
            </w:pPr>
            <w:r w:rsidRPr="00145FCF">
              <w:rPr>
                <w:i/>
                <w:sz w:val="22"/>
                <w:szCs w:val="22"/>
              </w:rPr>
              <w:t>Tema</w:t>
            </w:r>
          </w:p>
        </w:tc>
        <w:tc>
          <w:tcPr>
            <w:tcW w:w="6662" w:type="dxa"/>
          </w:tcPr>
          <w:p w14:paraId="5C4E48F2" w14:textId="77777777" w:rsidR="007372E3" w:rsidRPr="00145FCF" w:rsidRDefault="007372E3" w:rsidP="007372E3">
            <w:pPr>
              <w:spacing w:after="160"/>
              <w:rPr>
                <w:rFonts w:cs="Times New Roman"/>
                <w:sz w:val="22"/>
                <w:szCs w:val="22"/>
                <w:lang w:val="nn-NO"/>
              </w:rPr>
            </w:pPr>
            <w:r w:rsidRPr="00145FCF">
              <w:rPr>
                <w:rFonts w:cs="Times New Roman"/>
                <w:sz w:val="22"/>
                <w:szCs w:val="22"/>
                <w:lang w:val="nn-NO"/>
              </w:rPr>
              <w:t>Tema for 2018 er vassdragsanlegg i driftsfasen.</w:t>
            </w:r>
          </w:p>
          <w:p w14:paraId="42514C0C" w14:textId="77777777" w:rsidR="007372E3" w:rsidRPr="00145FCF" w:rsidRDefault="007372E3" w:rsidP="007372E3">
            <w:pPr>
              <w:spacing w:after="160"/>
              <w:rPr>
                <w:rFonts w:cs="Times New Roman"/>
                <w:sz w:val="22"/>
                <w:szCs w:val="22"/>
              </w:rPr>
            </w:pPr>
            <w:r w:rsidRPr="00145FCF">
              <w:rPr>
                <w:rFonts w:cs="Times New Roman"/>
                <w:sz w:val="22"/>
                <w:szCs w:val="22"/>
              </w:rPr>
              <w:t>Særskilt fokus rettes mot: internkontroll, organisatoriske krav, kvalifikasjonskrav og beredskap.</w:t>
            </w:r>
          </w:p>
        </w:tc>
      </w:tr>
      <w:tr w:rsidR="007372E3" w:rsidRPr="00145FCF" w14:paraId="1A83B512" w14:textId="77777777" w:rsidTr="005B3BAD">
        <w:tc>
          <w:tcPr>
            <w:tcW w:w="2689" w:type="dxa"/>
          </w:tcPr>
          <w:p w14:paraId="673D8D39" w14:textId="77777777" w:rsidR="007372E3" w:rsidRPr="00145FCF" w:rsidRDefault="007372E3" w:rsidP="007372E3">
            <w:pPr>
              <w:rPr>
                <w:i/>
                <w:sz w:val="22"/>
                <w:szCs w:val="22"/>
              </w:rPr>
            </w:pPr>
            <w:r w:rsidRPr="00145FCF">
              <w:rPr>
                <w:i/>
                <w:sz w:val="22"/>
                <w:szCs w:val="22"/>
              </w:rPr>
              <w:t>Objekter</w:t>
            </w:r>
          </w:p>
        </w:tc>
        <w:tc>
          <w:tcPr>
            <w:tcW w:w="6662" w:type="dxa"/>
          </w:tcPr>
          <w:p w14:paraId="3F5FB167" w14:textId="77777777" w:rsidR="007372E3" w:rsidRPr="00145FCF" w:rsidRDefault="007372E3" w:rsidP="007372E3">
            <w:pPr>
              <w:spacing w:after="160"/>
              <w:rPr>
                <w:rFonts w:cs="Times New Roman"/>
                <w:sz w:val="22"/>
                <w:szCs w:val="22"/>
              </w:rPr>
            </w:pPr>
            <w:r w:rsidRPr="00145FCF">
              <w:rPr>
                <w:rFonts w:cs="Times New Roman"/>
                <w:sz w:val="22"/>
                <w:szCs w:val="22"/>
              </w:rPr>
              <w:t>Brudd på vassdragsanlegg (dammer og vannveier) med tilhørende komponenter utgjør et vesentlig skadepotensiale. Eiere av vassdragsanlegg i de høyeste konsekvensklassene (2-4) er valgt som kontrollobjekter i 2018 ut fra deres samfunnssikkerhetsmessige betydning.</w:t>
            </w:r>
          </w:p>
          <w:p w14:paraId="55259342" w14:textId="77777777" w:rsidR="007372E3" w:rsidRPr="00145FCF" w:rsidRDefault="007372E3" w:rsidP="007372E3">
            <w:pPr>
              <w:spacing w:after="160"/>
              <w:rPr>
                <w:rFonts w:cs="Times New Roman"/>
                <w:sz w:val="22"/>
                <w:szCs w:val="22"/>
              </w:rPr>
            </w:pPr>
            <w:r w:rsidRPr="00145FCF">
              <w:rPr>
                <w:rFonts w:cs="Times New Roman"/>
                <w:sz w:val="22"/>
                <w:szCs w:val="22"/>
              </w:rPr>
              <w:t xml:space="preserve">Eiere med mange anlegg i høyere konsekvensklasse, og som ikke har vært revidert de senere år, vil bli prioritert høyest. Av vesentlighetsgrunner vil eiere av få vassdragsanlegg i høy konsekvensklasse, der damsikkerhet ikke er antatt å være en vesentlig del av organisasjonens formål, være prioritert for systemrevisjoner. </w:t>
            </w:r>
          </w:p>
          <w:p w14:paraId="1D8F38D3" w14:textId="77777777" w:rsidR="007372E3" w:rsidRPr="00145FCF" w:rsidRDefault="007372E3" w:rsidP="007372E3">
            <w:pPr>
              <w:spacing w:after="160"/>
              <w:rPr>
                <w:rFonts w:cs="Times New Roman"/>
                <w:sz w:val="22"/>
                <w:szCs w:val="22"/>
              </w:rPr>
            </w:pPr>
            <w:r w:rsidRPr="00145FCF">
              <w:rPr>
                <w:rFonts w:cs="Times New Roman"/>
                <w:sz w:val="22"/>
                <w:szCs w:val="22"/>
              </w:rPr>
              <w:t>Eiere av dammer i de høyeste konsekvensklassene der det nylig er gjennomført hovedtilsyn vil danne grunnlag for kontroll av opplysninger som innrapporteres våren 2018.</w:t>
            </w:r>
          </w:p>
        </w:tc>
      </w:tr>
      <w:tr w:rsidR="007372E3" w:rsidRPr="00145FCF" w14:paraId="5E6213D9" w14:textId="77777777" w:rsidTr="005B3BAD">
        <w:tc>
          <w:tcPr>
            <w:tcW w:w="2689" w:type="dxa"/>
          </w:tcPr>
          <w:p w14:paraId="49C632C7" w14:textId="77777777" w:rsidR="007372E3" w:rsidRPr="00145FCF" w:rsidRDefault="007372E3" w:rsidP="007372E3">
            <w:pPr>
              <w:rPr>
                <w:i/>
                <w:sz w:val="22"/>
                <w:szCs w:val="22"/>
              </w:rPr>
            </w:pPr>
            <w:r w:rsidRPr="00145FCF">
              <w:rPr>
                <w:i/>
                <w:sz w:val="22"/>
                <w:szCs w:val="22"/>
              </w:rPr>
              <w:t>Kontrollmetoder</w:t>
            </w:r>
          </w:p>
        </w:tc>
        <w:tc>
          <w:tcPr>
            <w:tcW w:w="6662" w:type="dxa"/>
          </w:tcPr>
          <w:p w14:paraId="5396E1D2" w14:textId="77777777" w:rsidR="007372E3" w:rsidRPr="00145FCF" w:rsidRDefault="007372E3" w:rsidP="007372E3">
            <w:pPr>
              <w:spacing w:after="160"/>
              <w:rPr>
                <w:rFonts w:cs="Times New Roman"/>
                <w:sz w:val="22"/>
                <w:szCs w:val="22"/>
              </w:rPr>
            </w:pPr>
            <w:r w:rsidRPr="00145FCF">
              <w:rPr>
                <w:rFonts w:cs="Times New Roman"/>
                <w:sz w:val="22"/>
                <w:szCs w:val="22"/>
              </w:rPr>
              <w:t>Revisjoner, stedlige inspeksjoner, innrapportering og skriftlig kontroll av innrapporterte opplysninger.</w:t>
            </w:r>
          </w:p>
        </w:tc>
      </w:tr>
    </w:tbl>
    <w:p w14:paraId="1896344C" w14:textId="77777777" w:rsidR="007372E3" w:rsidRPr="00145FCF" w:rsidRDefault="007372E3" w:rsidP="00746468"/>
    <w:p w14:paraId="237D4A40" w14:textId="77777777" w:rsidR="007372E3" w:rsidRPr="00145FCF" w:rsidRDefault="007372E3" w:rsidP="00746468"/>
    <w:tbl>
      <w:tblPr>
        <w:tblStyle w:val="Tabellrutenett2"/>
        <w:tblW w:w="9351" w:type="dxa"/>
        <w:tblLook w:val="04A0" w:firstRow="1" w:lastRow="0" w:firstColumn="1" w:lastColumn="0" w:noHBand="0" w:noVBand="1"/>
      </w:tblPr>
      <w:tblGrid>
        <w:gridCol w:w="2689"/>
        <w:gridCol w:w="6662"/>
      </w:tblGrid>
      <w:tr w:rsidR="007372E3" w:rsidRPr="00145FCF" w14:paraId="50170F26" w14:textId="77777777" w:rsidTr="005B3BAD">
        <w:tc>
          <w:tcPr>
            <w:tcW w:w="2689" w:type="dxa"/>
            <w:shd w:val="clear" w:color="auto" w:fill="0D0D0D" w:themeFill="text1" w:themeFillTint="F2"/>
          </w:tcPr>
          <w:p w14:paraId="34B17CCB" w14:textId="043B02AB" w:rsidR="007372E3" w:rsidRPr="00145FCF" w:rsidRDefault="005B3BAD" w:rsidP="00BD2F75">
            <w:pPr>
              <w:rPr>
                <w:color w:val="FFFFFF" w:themeColor="background1"/>
                <w:sz w:val="22"/>
                <w:szCs w:val="22"/>
              </w:rPr>
            </w:pPr>
            <w:r w:rsidRPr="00145FCF">
              <w:rPr>
                <w:color w:val="FFFFFF" w:themeColor="background1"/>
                <w:sz w:val="22"/>
                <w:szCs w:val="22"/>
              </w:rPr>
              <w:t>Miljøtilsyn med vassdragsanlegg</w:t>
            </w:r>
          </w:p>
        </w:tc>
        <w:tc>
          <w:tcPr>
            <w:tcW w:w="6662" w:type="dxa"/>
            <w:shd w:val="clear" w:color="auto" w:fill="0D0D0D" w:themeFill="text1" w:themeFillTint="F2"/>
          </w:tcPr>
          <w:p w14:paraId="180D44DA" w14:textId="5EDAA00D" w:rsidR="007372E3" w:rsidRPr="00145FCF" w:rsidRDefault="005B3BAD" w:rsidP="00BD2F75">
            <w:pPr>
              <w:rPr>
                <w:color w:val="FFFFFF" w:themeColor="background1"/>
                <w:sz w:val="22"/>
                <w:szCs w:val="22"/>
              </w:rPr>
            </w:pPr>
            <w:r w:rsidRPr="00145FCF">
              <w:rPr>
                <w:color w:val="FFFFFF" w:themeColor="background1"/>
                <w:sz w:val="22"/>
                <w:szCs w:val="22"/>
              </w:rPr>
              <w:t>Tilsyns- og beredskapsavdelingen – seksjon for miljøtilsyn vassdragsanlegg</w:t>
            </w:r>
          </w:p>
        </w:tc>
      </w:tr>
      <w:tr w:rsidR="007372E3" w:rsidRPr="00145FCF" w14:paraId="01820852" w14:textId="77777777" w:rsidTr="005B3BAD">
        <w:tc>
          <w:tcPr>
            <w:tcW w:w="2689" w:type="dxa"/>
          </w:tcPr>
          <w:p w14:paraId="1FAD083D" w14:textId="77777777" w:rsidR="007372E3" w:rsidRPr="00145FCF" w:rsidRDefault="007372E3" w:rsidP="007372E3">
            <w:pPr>
              <w:rPr>
                <w:i/>
                <w:sz w:val="22"/>
                <w:szCs w:val="22"/>
              </w:rPr>
            </w:pPr>
            <w:r w:rsidRPr="00145FCF">
              <w:rPr>
                <w:i/>
                <w:sz w:val="22"/>
                <w:szCs w:val="22"/>
              </w:rPr>
              <w:t>Tema</w:t>
            </w:r>
          </w:p>
        </w:tc>
        <w:tc>
          <w:tcPr>
            <w:tcW w:w="6662" w:type="dxa"/>
          </w:tcPr>
          <w:p w14:paraId="4C21C10F" w14:textId="77777777" w:rsidR="007372E3" w:rsidRPr="00145FCF" w:rsidRDefault="007372E3" w:rsidP="007372E3">
            <w:pPr>
              <w:rPr>
                <w:rFonts w:cs="Times New Roman"/>
                <w:i/>
                <w:sz w:val="22"/>
                <w:szCs w:val="22"/>
              </w:rPr>
            </w:pPr>
            <w:r w:rsidRPr="00145FCF">
              <w:rPr>
                <w:rFonts w:cs="Times New Roman"/>
                <w:i/>
                <w:sz w:val="22"/>
                <w:szCs w:val="22"/>
              </w:rPr>
              <w:t>Byggefase</w:t>
            </w:r>
          </w:p>
          <w:p w14:paraId="45F83F6E" w14:textId="77777777" w:rsidR="007372E3" w:rsidRPr="00145FCF" w:rsidRDefault="007372E3" w:rsidP="007372E3">
            <w:pPr>
              <w:numPr>
                <w:ilvl w:val="0"/>
                <w:numId w:val="10"/>
              </w:numPr>
              <w:rPr>
                <w:rFonts w:cs="Times New Roman"/>
                <w:sz w:val="22"/>
                <w:szCs w:val="22"/>
              </w:rPr>
            </w:pPr>
            <w:r w:rsidRPr="00145FCF">
              <w:rPr>
                <w:rFonts w:cs="Times New Roman"/>
                <w:sz w:val="22"/>
                <w:szCs w:val="22"/>
              </w:rPr>
              <w:t>Risiko og vesentlighetsvurdering tilsier at byggefase er temaet som skal velges for kontroll i 2018.</w:t>
            </w:r>
          </w:p>
          <w:p w14:paraId="5FA636C6" w14:textId="77777777" w:rsidR="007372E3" w:rsidRPr="00145FCF" w:rsidRDefault="007372E3" w:rsidP="007372E3">
            <w:pPr>
              <w:numPr>
                <w:ilvl w:val="0"/>
                <w:numId w:val="10"/>
              </w:numPr>
              <w:rPr>
                <w:rFonts w:cs="Times New Roman"/>
                <w:sz w:val="22"/>
                <w:szCs w:val="22"/>
              </w:rPr>
            </w:pPr>
            <w:r w:rsidRPr="00145FCF">
              <w:rPr>
                <w:rFonts w:cs="Times New Roman"/>
                <w:sz w:val="22"/>
                <w:szCs w:val="22"/>
              </w:rPr>
              <w:t>Det er for tiden betydelig aktivitet på bygging av vindkraftanlegg og høyspentlinjer. Erfaring tilsier at disse må følges tett opp i byggefasen.</w:t>
            </w:r>
          </w:p>
          <w:p w14:paraId="069045A4" w14:textId="77777777" w:rsidR="007372E3" w:rsidRPr="00145FCF" w:rsidRDefault="007372E3" w:rsidP="007372E3">
            <w:pPr>
              <w:numPr>
                <w:ilvl w:val="0"/>
                <w:numId w:val="10"/>
              </w:numPr>
              <w:spacing w:after="160"/>
              <w:rPr>
                <w:rFonts w:cs="Times New Roman"/>
                <w:sz w:val="22"/>
                <w:szCs w:val="22"/>
              </w:rPr>
            </w:pPr>
            <w:r w:rsidRPr="00145FCF">
              <w:rPr>
                <w:rFonts w:cs="Times New Roman"/>
                <w:sz w:val="22"/>
                <w:szCs w:val="22"/>
              </w:rPr>
              <w:t xml:space="preserve">Manglende kontroll kan føre til brudd på konsesjon eller enkeltvedtak som kan ha store landskapsmessige konsekvenser. </w:t>
            </w:r>
          </w:p>
          <w:p w14:paraId="67CC53C8" w14:textId="77777777" w:rsidR="007372E3" w:rsidRPr="00145FCF" w:rsidRDefault="007372E3" w:rsidP="007372E3">
            <w:pPr>
              <w:rPr>
                <w:rFonts w:cs="Times New Roman"/>
                <w:i/>
                <w:sz w:val="22"/>
                <w:szCs w:val="22"/>
              </w:rPr>
            </w:pPr>
            <w:r w:rsidRPr="00145FCF">
              <w:rPr>
                <w:rFonts w:cs="Times New Roman"/>
                <w:i/>
                <w:sz w:val="22"/>
                <w:szCs w:val="22"/>
              </w:rPr>
              <w:t>Driftsfase</w:t>
            </w:r>
          </w:p>
          <w:p w14:paraId="24B70A22" w14:textId="77777777" w:rsidR="007372E3" w:rsidRPr="00145FCF" w:rsidRDefault="007372E3" w:rsidP="007372E3">
            <w:pPr>
              <w:numPr>
                <w:ilvl w:val="0"/>
                <w:numId w:val="11"/>
              </w:numPr>
              <w:rPr>
                <w:rFonts w:cs="Times New Roman"/>
                <w:sz w:val="22"/>
                <w:szCs w:val="22"/>
              </w:rPr>
            </w:pPr>
            <w:r w:rsidRPr="00145FCF">
              <w:rPr>
                <w:rFonts w:cs="Times New Roman"/>
                <w:sz w:val="22"/>
                <w:szCs w:val="22"/>
              </w:rPr>
              <w:t>Risiko og vesentlighetsvurdering tilsier at vassdragsanlegg i drift skal velges for kontroll i 2018.</w:t>
            </w:r>
          </w:p>
          <w:p w14:paraId="1D0C721A" w14:textId="77777777" w:rsidR="007372E3" w:rsidRPr="00145FCF" w:rsidRDefault="007372E3" w:rsidP="007372E3">
            <w:pPr>
              <w:numPr>
                <w:ilvl w:val="0"/>
                <w:numId w:val="11"/>
              </w:numPr>
              <w:spacing w:after="160"/>
              <w:rPr>
                <w:sz w:val="22"/>
                <w:szCs w:val="22"/>
              </w:rPr>
            </w:pPr>
            <w:r w:rsidRPr="00145FCF">
              <w:rPr>
                <w:sz w:val="22"/>
                <w:szCs w:val="22"/>
              </w:rPr>
              <w:t>I driftsfasen vil etterlevelse av krav til slipp av minstevannføring, drift av omløpsventil og vannuttak stå sentralt. I tillegg vil et utvalg av settefiskanlegg få spesielt oppmerksomhet rettet mot deres internkontrollsystem.</w:t>
            </w:r>
          </w:p>
        </w:tc>
      </w:tr>
      <w:tr w:rsidR="007372E3" w:rsidRPr="00145FCF" w14:paraId="536EF465" w14:textId="77777777" w:rsidTr="005B3BAD">
        <w:tc>
          <w:tcPr>
            <w:tcW w:w="2689" w:type="dxa"/>
          </w:tcPr>
          <w:p w14:paraId="7485E018" w14:textId="77777777" w:rsidR="007372E3" w:rsidRPr="00145FCF" w:rsidRDefault="007372E3" w:rsidP="007372E3">
            <w:pPr>
              <w:rPr>
                <w:i/>
                <w:sz w:val="22"/>
                <w:szCs w:val="22"/>
              </w:rPr>
            </w:pPr>
            <w:r w:rsidRPr="00145FCF">
              <w:rPr>
                <w:i/>
                <w:sz w:val="22"/>
                <w:szCs w:val="22"/>
              </w:rPr>
              <w:t>Objekter</w:t>
            </w:r>
          </w:p>
        </w:tc>
        <w:tc>
          <w:tcPr>
            <w:tcW w:w="6662" w:type="dxa"/>
          </w:tcPr>
          <w:p w14:paraId="4EF2DC4D" w14:textId="77777777" w:rsidR="007372E3" w:rsidRPr="00145FCF" w:rsidRDefault="007372E3" w:rsidP="007372E3">
            <w:pPr>
              <w:rPr>
                <w:i/>
                <w:sz w:val="22"/>
                <w:szCs w:val="22"/>
              </w:rPr>
            </w:pPr>
            <w:r w:rsidRPr="00145FCF">
              <w:rPr>
                <w:i/>
                <w:sz w:val="22"/>
                <w:szCs w:val="22"/>
              </w:rPr>
              <w:t xml:space="preserve">Vassdragsanlegg i byggefase </w:t>
            </w:r>
          </w:p>
          <w:p w14:paraId="55FA446C" w14:textId="77777777" w:rsidR="007372E3" w:rsidRPr="00145FCF" w:rsidRDefault="007372E3" w:rsidP="007372E3">
            <w:pPr>
              <w:numPr>
                <w:ilvl w:val="0"/>
                <w:numId w:val="12"/>
              </w:numPr>
              <w:rPr>
                <w:sz w:val="22"/>
                <w:szCs w:val="22"/>
              </w:rPr>
            </w:pPr>
            <w:r w:rsidRPr="00145FCF">
              <w:rPr>
                <w:sz w:val="22"/>
                <w:szCs w:val="22"/>
              </w:rPr>
              <w:t>Alle konsesjonærer som har fått godkjent detaljplan og som er i byggefase. Disse er valgt ut fra tidligere erfaring med kontroll av tilsvarende anlegg. Antall anlegg som vil bli kontrollert er ukjent da antall oppstartede prosjekter ikke kan tallfestes.</w:t>
            </w:r>
          </w:p>
          <w:p w14:paraId="7D1FC3E3" w14:textId="77777777" w:rsidR="007372E3" w:rsidRPr="00145FCF" w:rsidRDefault="007372E3" w:rsidP="007372E3">
            <w:pPr>
              <w:numPr>
                <w:ilvl w:val="0"/>
                <w:numId w:val="12"/>
              </w:numPr>
              <w:rPr>
                <w:rFonts w:cs="Times New Roman"/>
                <w:sz w:val="22"/>
                <w:szCs w:val="22"/>
              </w:rPr>
            </w:pPr>
            <w:r w:rsidRPr="00145FCF">
              <w:rPr>
                <w:sz w:val="22"/>
                <w:szCs w:val="22"/>
              </w:rPr>
              <w:lastRenderedPageBreak/>
              <w:t>Risiko og vesentlighetsvurdering tilsier at vindkraftprosjekter må følges opp da de berører betydelige areal og bygges under stramme tidsrammer ofte i krevende terreng.</w:t>
            </w:r>
          </w:p>
          <w:p w14:paraId="46AAE7CE" w14:textId="77777777" w:rsidR="007372E3" w:rsidRPr="00145FCF" w:rsidRDefault="007372E3" w:rsidP="007372E3">
            <w:pPr>
              <w:numPr>
                <w:ilvl w:val="0"/>
                <w:numId w:val="12"/>
              </w:numPr>
              <w:spacing w:after="160"/>
              <w:rPr>
                <w:rFonts w:cs="Times New Roman"/>
                <w:sz w:val="22"/>
                <w:szCs w:val="22"/>
              </w:rPr>
            </w:pPr>
            <w:r w:rsidRPr="00145FCF">
              <w:rPr>
                <w:rFonts w:cs="Times New Roman"/>
                <w:sz w:val="22"/>
                <w:szCs w:val="22"/>
              </w:rPr>
              <w:t>Objektene vil være vindkraftkonsesjonærer som har fått godkjent MTA og som er i byggefase. Disse er valgt ut fra tidligere erfaring med kontroll av tilsvarende anlegg.</w:t>
            </w:r>
          </w:p>
          <w:p w14:paraId="258BABEB" w14:textId="77777777" w:rsidR="007372E3" w:rsidRPr="00145FCF" w:rsidRDefault="007372E3" w:rsidP="007372E3">
            <w:pPr>
              <w:rPr>
                <w:rFonts w:cs="Times New Roman"/>
                <w:i/>
                <w:sz w:val="22"/>
                <w:szCs w:val="22"/>
              </w:rPr>
            </w:pPr>
            <w:r w:rsidRPr="00145FCF">
              <w:rPr>
                <w:rFonts w:cs="Times New Roman"/>
                <w:i/>
                <w:sz w:val="22"/>
                <w:szCs w:val="22"/>
              </w:rPr>
              <w:t>Vassdragsanlegg i driftsfase</w:t>
            </w:r>
          </w:p>
          <w:p w14:paraId="7A4F274A" w14:textId="77777777" w:rsidR="007372E3" w:rsidRPr="00145FCF" w:rsidRDefault="007372E3" w:rsidP="007372E3">
            <w:pPr>
              <w:numPr>
                <w:ilvl w:val="0"/>
                <w:numId w:val="13"/>
              </w:numPr>
              <w:rPr>
                <w:rFonts w:cs="Times New Roman"/>
                <w:sz w:val="22"/>
                <w:szCs w:val="22"/>
              </w:rPr>
            </w:pPr>
            <w:r w:rsidRPr="00145FCF">
              <w:rPr>
                <w:rFonts w:cs="Times New Roman"/>
                <w:sz w:val="22"/>
                <w:szCs w:val="22"/>
              </w:rPr>
              <w:t xml:space="preserve">Konsesjonærer med anlegg i nasjonale laksevassdrag. Disse vassdragene er ut fra miljøhensyn utpekt å være blant landets viktigeste vassdrag. Brudd på krav har derfor potensielt størst skade i disse vassdragene. </w:t>
            </w:r>
          </w:p>
          <w:p w14:paraId="49A348AE" w14:textId="77777777" w:rsidR="007372E3" w:rsidRPr="00145FCF" w:rsidRDefault="007372E3" w:rsidP="007372E3">
            <w:pPr>
              <w:numPr>
                <w:ilvl w:val="0"/>
                <w:numId w:val="13"/>
              </w:numPr>
              <w:rPr>
                <w:rFonts w:cs="Times New Roman"/>
                <w:sz w:val="22"/>
                <w:szCs w:val="22"/>
              </w:rPr>
            </w:pPr>
            <w:r w:rsidRPr="00145FCF">
              <w:rPr>
                <w:rFonts w:cs="Times New Roman"/>
                <w:sz w:val="22"/>
                <w:szCs w:val="22"/>
              </w:rPr>
              <w:t>Konsesjonærer med settefiskanlegg, og 15-20 følges spesielt opp i 2018. Tidligere kontroll av slike anlegg viser at det ofte er brudd på krav om slipp av minstevannføring eller vannuttak. Slike brudd har både en miljøeffekt og en konkurransevridende effekt.</w:t>
            </w:r>
          </w:p>
          <w:p w14:paraId="18280C5C" w14:textId="77777777" w:rsidR="007372E3" w:rsidRPr="00145FCF" w:rsidRDefault="007372E3" w:rsidP="007372E3">
            <w:pPr>
              <w:numPr>
                <w:ilvl w:val="0"/>
                <w:numId w:val="13"/>
              </w:numPr>
              <w:spacing w:after="160"/>
              <w:rPr>
                <w:rFonts w:cs="Times New Roman"/>
                <w:sz w:val="22"/>
                <w:szCs w:val="22"/>
              </w:rPr>
            </w:pPr>
            <w:r w:rsidRPr="00145FCF">
              <w:rPr>
                <w:rFonts w:cs="Times New Roman"/>
                <w:sz w:val="22"/>
                <w:szCs w:val="22"/>
              </w:rPr>
              <w:t xml:space="preserve">Konsesjonærer med reguleringsmagasin som inngår i </w:t>
            </w:r>
            <w:r w:rsidRPr="00145FCF">
              <w:rPr>
                <w:rFonts w:cs="Times New Roman"/>
                <w:i/>
                <w:sz w:val="22"/>
                <w:szCs w:val="22"/>
              </w:rPr>
              <w:t>Norgesmagasinet</w:t>
            </w:r>
            <w:r w:rsidRPr="00145FCF">
              <w:rPr>
                <w:rFonts w:cs="Times New Roman"/>
                <w:sz w:val="22"/>
                <w:szCs w:val="22"/>
              </w:rPr>
              <w:t>.</w:t>
            </w:r>
          </w:p>
        </w:tc>
      </w:tr>
      <w:tr w:rsidR="007372E3" w:rsidRPr="00145FCF" w14:paraId="5CC66B1D" w14:textId="77777777" w:rsidTr="005B3BAD">
        <w:tc>
          <w:tcPr>
            <w:tcW w:w="2689" w:type="dxa"/>
          </w:tcPr>
          <w:p w14:paraId="62A2B1C3" w14:textId="77777777" w:rsidR="007372E3" w:rsidRPr="00145FCF" w:rsidRDefault="007372E3" w:rsidP="007372E3">
            <w:pPr>
              <w:rPr>
                <w:i/>
                <w:sz w:val="22"/>
                <w:szCs w:val="22"/>
              </w:rPr>
            </w:pPr>
            <w:r w:rsidRPr="00145FCF">
              <w:rPr>
                <w:i/>
                <w:sz w:val="22"/>
                <w:szCs w:val="22"/>
              </w:rPr>
              <w:lastRenderedPageBreak/>
              <w:t>Kontrollmetoder</w:t>
            </w:r>
          </w:p>
        </w:tc>
        <w:tc>
          <w:tcPr>
            <w:tcW w:w="6662" w:type="dxa"/>
          </w:tcPr>
          <w:p w14:paraId="168A7556" w14:textId="77777777" w:rsidR="007372E3" w:rsidRPr="00145FCF" w:rsidRDefault="007372E3" w:rsidP="007372E3">
            <w:pPr>
              <w:rPr>
                <w:rFonts w:cs="Times New Roman"/>
                <w:i/>
                <w:sz w:val="22"/>
                <w:szCs w:val="22"/>
              </w:rPr>
            </w:pPr>
            <w:r w:rsidRPr="00145FCF">
              <w:rPr>
                <w:rFonts w:cs="Times New Roman"/>
                <w:i/>
                <w:sz w:val="22"/>
                <w:szCs w:val="22"/>
              </w:rPr>
              <w:t>Stedlige inspeksjon</w:t>
            </w:r>
          </w:p>
          <w:p w14:paraId="58C42282" w14:textId="77777777" w:rsidR="007372E3" w:rsidRPr="00145FCF" w:rsidRDefault="007372E3" w:rsidP="007372E3">
            <w:pPr>
              <w:numPr>
                <w:ilvl w:val="0"/>
                <w:numId w:val="8"/>
              </w:numPr>
              <w:rPr>
                <w:rFonts w:cs="Times New Roman"/>
                <w:sz w:val="22"/>
                <w:szCs w:val="22"/>
              </w:rPr>
            </w:pPr>
            <w:r w:rsidRPr="00145FCF">
              <w:rPr>
                <w:rFonts w:cs="Times New Roman"/>
                <w:sz w:val="22"/>
                <w:szCs w:val="22"/>
              </w:rPr>
              <w:t>Vassdragsanlegg i byggefasen. Det blir normalt utført tre inspeksjoner i anleggstiden.</w:t>
            </w:r>
          </w:p>
          <w:p w14:paraId="776CACE4" w14:textId="77777777" w:rsidR="007372E3" w:rsidRPr="00145FCF" w:rsidRDefault="007372E3" w:rsidP="007372E3">
            <w:pPr>
              <w:numPr>
                <w:ilvl w:val="0"/>
                <w:numId w:val="8"/>
              </w:numPr>
              <w:spacing w:after="160"/>
              <w:rPr>
                <w:rFonts w:cs="Times New Roman"/>
                <w:sz w:val="22"/>
                <w:szCs w:val="22"/>
              </w:rPr>
            </w:pPr>
            <w:r w:rsidRPr="00145FCF">
              <w:rPr>
                <w:rFonts w:cs="Times New Roman"/>
                <w:sz w:val="22"/>
                <w:szCs w:val="22"/>
              </w:rPr>
              <w:t>Settefiskanlegg i driftsfase</w:t>
            </w:r>
          </w:p>
          <w:p w14:paraId="1F31949A" w14:textId="77777777" w:rsidR="007372E3" w:rsidRPr="00145FCF" w:rsidRDefault="007372E3" w:rsidP="007372E3">
            <w:pPr>
              <w:rPr>
                <w:rFonts w:cs="Times New Roman"/>
                <w:i/>
                <w:sz w:val="22"/>
                <w:szCs w:val="22"/>
              </w:rPr>
            </w:pPr>
            <w:r w:rsidRPr="00145FCF">
              <w:rPr>
                <w:rFonts w:cs="Times New Roman"/>
                <w:i/>
                <w:sz w:val="22"/>
                <w:szCs w:val="22"/>
              </w:rPr>
              <w:t>Revisjon</w:t>
            </w:r>
          </w:p>
          <w:p w14:paraId="4C1E8F77" w14:textId="77777777" w:rsidR="007372E3" w:rsidRPr="00145FCF" w:rsidRDefault="007372E3" w:rsidP="007372E3">
            <w:pPr>
              <w:numPr>
                <w:ilvl w:val="0"/>
                <w:numId w:val="9"/>
              </w:numPr>
              <w:rPr>
                <w:rFonts w:cs="Times New Roman"/>
                <w:sz w:val="22"/>
                <w:szCs w:val="22"/>
              </w:rPr>
            </w:pPr>
            <w:r w:rsidRPr="00145FCF">
              <w:rPr>
                <w:rFonts w:cs="Times New Roman"/>
                <w:sz w:val="22"/>
                <w:szCs w:val="22"/>
              </w:rPr>
              <w:t>3 vannkraftanlegg i nasjonale laksevassdrag vi bli revidert</w:t>
            </w:r>
          </w:p>
          <w:p w14:paraId="4B72B8EC" w14:textId="77777777" w:rsidR="007372E3" w:rsidRPr="00145FCF" w:rsidRDefault="007372E3" w:rsidP="007372E3">
            <w:pPr>
              <w:numPr>
                <w:ilvl w:val="0"/>
                <w:numId w:val="9"/>
              </w:numPr>
              <w:rPr>
                <w:rFonts w:cs="Times New Roman"/>
                <w:sz w:val="22"/>
                <w:szCs w:val="22"/>
              </w:rPr>
            </w:pPr>
            <w:r w:rsidRPr="00145FCF">
              <w:rPr>
                <w:rFonts w:cs="Times New Roman"/>
                <w:sz w:val="22"/>
                <w:szCs w:val="22"/>
              </w:rPr>
              <w:t>3 settefiskanlegg vil bli revidert</w:t>
            </w:r>
          </w:p>
          <w:p w14:paraId="0B2D16C5"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9 vannkraftanlegg med fokus på omløpsventil, laksevassdrag</w:t>
            </w:r>
          </w:p>
          <w:p w14:paraId="5BCF3FA8" w14:textId="77777777" w:rsidR="007372E3" w:rsidRPr="00145FCF" w:rsidRDefault="007372E3" w:rsidP="007372E3">
            <w:pPr>
              <w:rPr>
                <w:rFonts w:cs="Times New Roman"/>
                <w:i/>
                <w:sz w:val="22"/>
                <w:szCs w:val="22"/>
              </w:rPr>
            </w:pPr>
            <w:r w:rsidRPr="00145FCF">
              <w:rPr>
                <w:rFonts w:cs="Times New Roman"/>
                <w:i/>
                <w:sz w:val="22"/>
                <w:szCs w:val="22"/>
              </w:rPr>
              <w:t>Innrapportering</w:t>
            </w:r>
          </w:p>
          <w:p w14:paraId="38CA03CC"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Norgesmagasinet, ca. 500 reguleringsmagasin ukentlig</w:t>
            </w:r>
          </w:p>
          <w:p w14:paraId="390074F0" w14:textId="77777777" w:rsidR="007372E3" w:rsidRPr="00145FCF" w:rsidRDefault="007372E3" w:rsidP="007372E3">
            <w:pPr>
              <w:rPr>
                <w:rFonts w:cs="Times New Roman"/>
                <w:i/>
                <w:sz w:val="22"/>
                <w:szCs w:val="22"/>
              </w:rPr>
            </w:pPr>
            <w:r w:rsidRPr="00145FCF">
              <w:rPr>
                <w:rFonts w:cs="Times New Roman"/>
                <w:i/>
                <w:sz w:val="22"/>
                <w:szCs w:val="22"/>
              </w:rPr>
              <w:t>Spørreundersøkelse</w:t>
            </w:r>
          </w:p>
          <w:p w14:paraId="6192EE22" w14:textId="77777777" w:rsidR="007372E3" w:rsidRPr="00145FCF" w:rsidRDefault="007372E3" w:rsidP="007372E3">
            <w:pPr>
              <w:numPr>
                <w:ilvl w:val="0"/>
                <w:numId w:val="9"/>
              </w:numPr>
              <w:spacing w:after="160"/>
              <w:rPr>
                <w:rFonts w:cs="Times New Roman"/>
                <w:sz w:val="22"/>
                <w:szCs w:val="22"/>
              </w:rPr>
            </w:pPr>
            <w:r w:rsidRPr="00145FCF">
              <w:rPr>
                <w:rFonts w:cs="Times New Roman"/>
                <w:sz w:val="22"/>
                <w:szCs w:val="22"/>
              </w:rPr>
              <w:t>15-20 konsesjonærer med settefiskanlegg</w:t>
            </w:r>
          </w:p>
        </w:tc>
      </w:tr>
    </w:tbl>
    <w:p w14:paraId="1EB22E93" w14:textId="77777777" w:rsidR="007372E3" w:rsidRPr="00145FCF" w:rsidRDefault="007372E3" w:rsidP="00746468"/>
    <w:p w14:paraId="20A2C026" w14:textId="77777777" w:rsidR="007372E3" w:rsidRPr="00145FCF" w:rsidRDefault="007372E3" w:rsidP="00746468"/>
    <w:p w14:paraId="1826B7F2" w14:textId="77777777" w:rsidR="007372E3" w:rsidRPr="00145FCF" w:rsidRDefault="007372E3" w:rsidP="00746468"/>
    <w:p w14:paraId="0FF5578B" w14:textId="77777777" w:rsidR="00EC648A" w:rsidRPr="00145FCF" w:rsidRDefault="00EC648A" w:rsidP="00746468"/>
    <w:p w14:paraId="0FF5579D" w14:textId="77777777" w:rsidR="00746468" w:rsidRPr="00145FCF" w:rsidRDefault="00746468" w:rsidP="00746468">
      <w:pPr>
        <w:pStyle w:val="Brdtekst"/>
        <w:spacing w:after="0"/>
        <w:rPr>
          <w:u w:val="single"/>
        </w:rPr>
      </w:pPr>
    </w:p>
    <w:p w14:paraId="0FF5579E" w14:textId="77777777" w:rsidR="00746468" w:rsidRPr="00145FCF" w:rsidRDefault="00746468" w:rsidP="00746468">
      <w:pPr>
        <w:spacing w:line="240" w:lineRule="auto"/>
      </w:pPr>
    </w:p>
    <w:p w14:paraId="0FF5579F" w14:textId="77777777" w:rsidR="00746468" w:rsidRPr="00145FCF" w:rsidRDefault="00746468" w:rsidP="00746468">
      <w:pPr>
        <w:spacing w:line="240" w:lineRule="auto"/>
      </w:pPr>
    </w:p>
    <w:p w14:paraId="0FF557A0" w14:textId="77777777" w:rsidR="00EC648A" w:rsidRPr="00145FCF" w:rsidRDefault="00EC648A">
      <w:r w:rsidRPr="00145FCF">
        <w:br w:type="page"/>
      </w:r>
    </w:p>
    <w:p w14:paraId="0FF557A1" w14:textId="77777777" w:rsidR="00746468" w:rsidRPr="00145FCF" w:rsidRDefault="00746468" w:rsidP="00746468">
      <w:pPr>
        <w:pStyle w:val="Brdtekst"/>
        <w:numPr>
          <w:ilvl w:val="0"/>
          <w:numId w:val="5"/>
        </w:numPr>
        <w:spacing w:after="0"/>
      </w:pPr>
      <w:r w:rsidRPr="00145FCF">
        <w:lastRenderedPageBreak/>
        <w:t>Energiforsyning</w:t>
      </w:r>
    </w:p>
    <w:p w14:paraId="5BD6A94C" w14:textId="77777777" w:rsidR="00BD2F75" w:rsidRPr="00145FCF" w:rsidRDefault="00BD2F75" w:rsidP="00BD2F75">
      <w:pPr>
        <w:pStyle w:val="Brdtekst"/>
        <w:spacing w:after="0"/>
        <w:ind w:left="60"/>
      </w:pPr>
    </w:p>
    <w:tbl>
      <w:tblPr>
        <w:tblStyle w:val="Tabellrutenett1"/>
        <w:tblW w:w="9351" w:type="dxa"/>
        <w:tblLook w:val="04A0" w:firstRow="1" w:lastRow="0" w:firstColumn="1" w:lastColumn="0" w:noHBand="0" w:noVBand="1"/>
      </w:tblPr>
      <w:tblGrid>
        <w:gridCol w:w="2689"/>
        <w:gridCol w:w="6662"/>
      </w:tblGrid>
      <w:tr w:rsidR="007372E3" w:rsidRPr="00145FCF" w14:paraId="7A4F60A9" w14:textId="77777777" w:rsidTr="005B3BAD">
        <w:tc>
          <w:tcPr>
            <w:tcW w:w="2689" w:type="dxa"/>
            <w:shd w:val="clear" w:color="auto" w:fill="0D0D0D" w:themeFill="text1" w:themeFillTint="F2"/>
          </w:tcPr>
          <w:p w14:paraId="2E333BB3" w14:textId="304A445F" w:rsidR="007372E3" w:rsidRPr="00145FCF" w:rsidRDefault="005B3BAD" w:rsidP="00BD2F75">
            <w:pPr>
              <w:rPr>
                <w:color w:val="FFFFFF" w:themeColor="background1"/>
                <w:sz w:val="22"/>
                <w:szCs w:val="22"/>
              </w:rPr>
            </w:pPr>
            <w:r w:rsidRPr="00145FCF">
              <w:rPr>
                <w:color w:val="FFFFFF" w:themeColor="background1"/>
                <w:sz w:val="22"/>
                <w:szCs w:val="22"/>
              </w:rPr>
              <w:t>Miljøtilsyn</w:t>
            </w:r>
            <w:r w:rsidRPr="00145FCF">
              <w:rPr>
                <w:b/>
                <w:color w:val="FFFFFF" w:themeColor="background1"/>
                <w:sz w:val="22"/>
                <w:szCs w:val="22"/>
              </w:rPr>
              <w:t xml:space="preserve"> </w:t>
            </w:r>
            <w:r w:rsidRPr="00145FCF">
              <w:rPr>
                <w:color w:val="FFFFFF" w:themeColor="background1"/>
                <w:sz w:val="22"/>
                <w:szCs w:val="22"/>
              </w:rPr>
              <w:t>med</w:t>
            </w:r>
            <w:r w:rsidRPr="00145FCF">
              <w:rPr>
                <w:b/>
                <w:color w:val="FFFFFF" w:themeColor="background1"/>
                <w:sz w:val="22"/>
                <w:szCs w:val="22"/>
              </w:rPr>
              <w:t xml:space="preserve"> </w:t>
            </w:r>
            <w:r w:rsidRPr="00145FCF">
              <w:rPr>
                <w:color w:val="FFFFFF" w:themeColor="background1"/>
                <w:sz w:val="22"/>
                <w:szCs w:val="22"/>
              </w:rPr>
              <w:t>energianlegg</w:t>
            </w:r>
          </w:p>
        </w:tc>
        <w:tc>
          <w:tcPr>
            <w:tcW w:w="6662" w:type="dxa"/>
            <w:shd w:val="clear" w:color="auto" w:fill="0D0D0D" w:themeFill="text1" w:themeFillTint="F2"/>
          </w:tcPr>
          <w:p w14:paraId="7E861E8F" w14:textId="78F6D4AF" w:rsidR="007372E3" w:rsidRPr="00145FCF" w:rsidRDefault="005B3BAD" w:rsidP="007372E3">
            <w:pPr>
              <w:rPr>
                <w:color w:val="FFFFFF" w:themeColor="background1"/>
                <w:sz w:val="22"/>
                <w:szCs w:val="22"/>
              </w:rPr>
            </w:pPr>
            <w:r w:rsidRPr="00145FCF">
              <w:rPr>
                <w:color w:val="FFFFFF" w:themeColor="background1"/>
                <w:sz w:val="22"/>
                <w:szCs w:val="22"/>
              </w:rPr>
              <w:t>Tilsyns- og beredskapsavdelingen – seksjon for miljøtilsyn energianlegg</w:t>
            </w:r>
          </w:p>
        </w:tc>
      </w:tr>
      <w:tr w:rsidR="007372E3" w:rsidRPr="00145FCF" w14:paraId="6C520F20" w14:textId="77777777" w:rsidTr="005B3BAD">
        <w:tc>
          <w:tcPr>
            <w:tcW w:w="2689" w:type="dxa"/>
          </w:tcPr>
          <w:p w14:paraId="523C3864" w14:textId="77777777" w:rsidR="007372E3" w:rsidRPr="00145FCF" w:rsidRDefault="007372E3" w:rsidP="007372E3">
            <w:pPr>
              <w:rPr>
                <w:i/>
                <w:sz w:val="22"/>
                <w:szCs w:val="22"/>
              </w:rPr>
            </w:pPr>
            <w:r w:rsidRPr="00145FCF">
              <w:rPr>
                <w:i/>
                <w:sz w:val="22"/>
                <w:szCs w:val="22"/>
              </w:rPr>
              <w:t>Tema</w:t>
            </w:r>
          </w:p>
        </w:tc>
        <w:tc>
          <w:tcPr>
            <w:tcW w:w="6662" w:type="dxa"/>
          </w:tcPr>
          <w:p w14:paraId="6B4C3E0D" w14:textId="77777777" w:rsidR="007372E3" w:rsidRPr="00145FCF" w:rsidRDefault="007372E3" w:rsidP="007372E3">
            <w:pPr>
              <w:spacing w:after="160"/>
              <w:rPr>
                <w:rFonts w:cs="Times New Roman"/>
                <w:i/>
                <w:sz w:val="22"/>
                <w:szCs w:val="22"/>
              </w:rPr>
            </w:pPr>
            <w:r w:rsidRPr="00145FCF">
              <w:rPr>
                <w:rFonts w:cs="Times New Roman"/>
                <w:i/>
                <w:sz w:val="22"/>
                <w:szCs w:val="22"/>
              </w:rPr>
              <w:t>Byggefase</w:t>
            </w:r>
          </w:p>
          <w:p w14:paraId="66F55DE0" w14:textId="77777777" w:rsidR="007372E3" w:rsidRPr="00145FCF" w:rsidRDefault="007372E3" w:rsidP="007372E3">
            <w:pPr>
              <w:spacing w:after="160"/>
              <w:rPr>
                <w:rFonts w:cs="Times New Roman"/>
                <w:sz w:val="22"/>
                <w:szCs w:val="22"/>
              </w:rPr>
            </w:pPr>
            <w:r w:rsidRPr="00145FCF">
              <w:rPr>
                <w:rFonts w:cs="Times New Roman"/>
                <w:sz w:val="22"/>
                <w:szCs w:val="22"/>
              </w:rPr>
              <w:t>Risiko og vesentlighetsvurdering tilsier at byggefase er temaet som skal velges for kontroll i 2018.</w:t>
            </w:r>
          </w:p>
          <w:p w14:paraId="6E1F3C9A" w14:textId="77777777" w:rsidR="007372E3" w:rsidRPr="00145FCF" w:rsidRDefault="007372E3" w:rsidP="007372E3">
            <w:pPr>
              <w:spacing w:after="160"/>
              <w:rPr>
                <w:rFonts w:cs="Times New Roman"/>
                <w:sz w:val="22"/>
                <w:szCs w:val="22"/>
              </w:rPr>
            </w:pPr>
            <w:r w:rsidRPr="00145FCF">
              <w:rPr>
                <w:rFonts w:cs="Times New Roman"/>
                <w:sz w:val="22"/>
                <w:szCs w:val="22"/>
              </w:rPr>
              <w:t>Det er for tiden betydelig aktivitet på bygging av vindkraftanlegg og høyspentlinjer. Erfaring tilsier at disse må følges tett opp i byggefasen.</w:t>
            </w:r>
          </w:p>
          <w:p w14:paraId="3F64E52B" w14:textId="77777777" w:rsidR="007372E3" w:rsidRPr="00145FCF" w:rsidRDefault="007372E3" w:rsidP="007372E3">
            <w:pPr>
              <w:spacing w:after="160"/>
              <w:rPr>
                <w:rFonts w:cs="Times New Roman"/>
                <w:sz w:val="22"/>
                <w:szCs w:val="22"/>
              </w:rPr>
            </w:pPr>
            <w:r w:rsidRPr="00145FCF">
              <w:rPr>
                <w:rFonts w:cs="Times New Roman"/>
                <w:sz w:val="22"/>
                <w:szCs w:val="22"/>
              </w:rPr>
              <w:t xml:space="preserve">Byggefase er det mest sårbare tidsrommet for etablering og drift av energianlegg. </w:t>
            </w:r>
          </w:p>
          <w:p w14:paraId="1CB87AF7" w14:textId="77777777" w:rsidR="007372E3" w:rsidRPr="00145FCF" w:rsidRDefault="007372E3" w:rsidP="007372E3">
            <w:pPr>
              <w:spacing w:after="160"/>
              <w:rPr>
                <w:sz w:val="22"/>
                <w:szCs w:val="22"/>
              </w:rPr>
            </w:pPr>
            <w:r w:rsidRPr="00145FCF">
              <w:rPr>
                <w:rFonts w:cs="Times New Roman"/>
                <w:sz w:val="22"/>
                <w:szCs w:val="22"/>
              </w:rPr>
              <w:t xml:space="preserve">Manglende kontroll kan føre til brudd på konsesjon eller enkeltvedtak som kan ha store landskapsmessige konsekvenser. </w:t>
            </w:r>
          </w:p>
        </w:tc>
      </w:tr>
      <w:tr w:rsidR="007372E3" w:rsidRPr="00145FCF" w14:paraId="6396D0E2" w14:textId="77777777" w:rsidTr="005B3BAD">
        <w:tc>
          <w:tcPr>
            <w:tcW w:w="2689" w:type="dxa"/>
          </w:tcPr>
          <w:p w14:paraId="231B1DB6" w14:textId="77777777" w:rsidR="007372E3" w:rsidRPr="00145FCF" w:rsidRDefault="007372E3" w:rsidP="007372E3">
            <w:pPr>
              <w:rPr>
                <w:i/>
                <w:sz w:val="22"/>
                <w:szCs w:val="22"/>
              </w:rPr>
            </w:pPr>
            <w:r w:rsidRPr="00145FCF">
              <w:rPr>
                <w:i/>
                <w:sz w:val="22"/>
                <w:szCs w:val="22"/>
              </w:rPr>
              <w:t>Objekter</w:t>
            </w:r>
          </w:p>
        </w:tc>
        <w:tc>
          <w:tcPr>
            <w:tcW w:w="6662" w:type="dxa"/>
          </w:tcPr>
          <w:p w14:paraId="624F95EC" w14:textId="77777777" w:rsidR="007372E3" w:rsidRPr="00145FCF" w:rsidRDefault="007372E3" w:rsidP="007372E3">
            <w:pPr>
              <w:spacing w:after="160"/>
              <w:rPr>
                <w:rFonts w:cs="Times New Roman"/>
                <w:i/>
                <w:sz w:val="22"/>
                <w:szCs w:val="22"/>
              </w:rPr>
            </w:pPr>
            <w:r w:rsidRPr="00145FCF">
              <w:rPr>
                <w:i/>
                <w:sz w:val="22"/>
                <w:szCs w:val="22"/>
              </w:rPr>
              <w:t>Vindkraftkonsesjonærer</w:t>
            </w:r>
          </w:p>
          <w:p w14:paraId="22377187" w14:textId="77777777" w:rsidR="007372E3" w:rsidRPr="00145FCF" w:rsidRDefault="007372E3" w:rsidP="007372E3">
            <w:pPr>
              <w:spacing w:after="160"/>
              <w:rPr>
                <w:rFonts w:cs="Times New Roman"/>
                <w:sz w:val="22"/>
                <w:szCs w:val="22"/>
              </w:rPr>
            </w:pPr>
            <w:r w:rsidRPr="00145FCF">
              <w:rPr>
                <w:sz w:val="22"/>
                <w:szCs w:val="22"/>
              </w:rPr>
              <w:t>Risiko og vesentlighetsvurdering tilsier at vindkraftprosjekter må følges opp da de berører betydelige areal og bygges under stramme tidsrammer ofte i krevende terreng.</w:t>
            </w:r>
          </w:p>
          <w:p w14:paraId="440B0602" w14:textId="77777777" w:rsidR="007372E3" w:rsidRPr="00145FCF" w:rsidRDefault="007372E3" w:rsidP="007372E3">
            <w:pPr>
              <w:spacing w:after="160"/>
              <w:rPr>
                <w:rFonts w:cs="Times New Roman"/>
                <w:sz w:val="22"/>
                <w:szCs w:val="22"/>
              </w:rPr>
            </w:pPr>
            <w:r w:rsidRPr="00145FCF">
              <w:rPr>
                <w:rFonts w:cs="Times New Roman"/>
                <w:sz w:val="22"/>
                <w:szCs w:val="22"/>
              </w:rPr>
              <w:t>Objektene vil være vindkraftkonsesjonærer som har fått godkjent MTA og som er i byggefase. Disse er valgt ut fra tidligere erfaring med kontroll av tilsvarende anlegg.</w:t>
            </w:r>
          </w:p>
          <w:p w14:paraId="75F25CE1" w14:textId="77777777" w:rsidR="007372E3" w:rsidRPr="00145FCF" w:rsidRDefault="007372E3" w:rsidP="007372E3">
            <w:pPr>
              <w:spacing w:after="160"/>
              <w:rPr>
                <w:rFonts w:cs="Times New Roman"/>
                <w:i/>
                <w:sz w:val="22"/>
                <w:szCs w:val="22"/>
              </w:rPr>
            </w:pPr>
            <w:r w:rsidRPr="00145FCF">
              <w:rPr>
                <w:rFonts w:cs="Times New Roman"/>
                <w:i/>
                <w:sz w:val="22"/>
                <w:szCs w:val="22"/>
              </w:rPr>
              <w:t>Statnett SF</w:t>
            </w:r>
          </w:p>
          <w:p w14:paraId="6DE221FD" w14:textId="77777777" w:rsidR="007372E3" w:rsidRPr="00145FCF" w:rsidRDefault="007372E3" w:rsidP="007372E3">
            <w:pPr>
              <w:spacing w:after="160"/>
              <w:rPr>
                <w:sz w:val="22"/>
                <w:szCs w:val="22"/>
              </w:rPr>
            </w:pPr>
            <w:r w:rsidRPr="00145FCF">
              <w:rPr>
                <w:sz w:val="22"/>
                <w:szCs w:val="22"/>
              </w:rPr>
              <w:t xml:space="preserve">Risiko og vesentlighetsvurdering tilsier at prosjektene til Statnett SF må følges opp. Overføringsledninger er et tydelig landskapselement som krever gode tiltak ofte i utfordrende terreng. </w:t>
            </w:r>
          </w:p>
          <w:p w14:paraId="173EE9AA" w14:textId="77777777" w:rsidR="007372E3" w:rsidRPr="00145FCF" w:rsidRDefault="007372E3" w:rsidP="007372E3">
            <w:pPr>
              <w:spacing w:after="160"/>
              <w:rPr>
                <w:rFonts w:cs="Times New Roman"/>
                <w:sz w:val="22"/>
                <w:szCs w:val="22"/>
              </w:rPr>
            </w:pPr>
            <w:r w:rsidRPr="00145FCF">
              <w:rPr>
                <w:sz w:val="22"/>
                <w:szCs w:val="22"/>
              </w:rPr>
              <w:t>Objektene vil være S</w:t>
            </w:r>
            <w:r w:rsidRPr="00145FCF">
              <w:rPr>
                <w:rFonts w:cs="Times New Roman"/>
                <w:sz w:val="22"/>
                <w:szCs w:val="22"/>
              </w:rPr>
              <w:t>tatnett SFs konsesjoner som har fått godkjent MTA for konkrete strekninger. Tidligere erfaring tilsier at oppføling i byggefase er viktig.</w:t>
            </w:r>
          </w:p>
        </w:tc>
      </w:tr>
      <w:tr w:rsidR="007372E3" w:rsidRPr="00145FCF" w14:paraId="2B3CF10B" w14:textId="77777777" w:rsidTr="005B3BAD">
        <w:tc>
          <w:tcPr>
            <w:tcW w:w="2689" w:type="dxa"/>
          </w:tcPr>
          <w:p w14:paraId="2BD85BCC" w14:textId="77777777" w:rsidR="007372E3" w:rsidRPr="00145FCF" w:rsidRDefault="007372E3" w:rsidP="007372E3">
            <w:pPr>
              <w:rPr>
                <w:i/>
                <w:sz w:val="22"/>
                <w:szCs w:val="22"/>
              </w:rPr>
            </w:pPr>
            <w:r w:rsidRPr="00145FCF">
              <w:rPr>
                <w:i/>
                <w:sz w:val="22"/>
                <w:szCs w:val="22"/>
              </w:rPr>
              <w:t>Kontrollmetoder</w:t>
            </w:r>
          </w:p>
        </w:tc>
        <w:tc>
          <w:tcPr>
            <w:tcW w:w="6662" w:type="dxa"/>
          </w:tcPr>
          <w:p w14:paraId="264677F4" w14:textId="77777777" w:rsidR="007372E3" w:rsidRPr="00145FCF" w:rsidRDefault="007372E3" w:rsidP="007372E3">
            <w:pPr>
              <w:spacing w:after="160"/>
              <w:rPr>
                <w:rFonts w:cs="Times New Roman"/>
                <w:i/>
                <w:sz w:val="22"/>
                <w:szCs w:val="22"/>
              </w:rPr>
            </w:pPr>
            <w:r w:rsidRPr="00145FCF">
              <w:rPr>
                <w:rFonts w:cs="Times New Roman"/>
                <w:i/>
                <w:sz w:val="22"/>
                <w:szCs w:val="22"/>
              </w:rPr>
              <w:t>Stedlige inspeksjoner</w:t>
            </w:r>
          </w:p>
          <w:p w14:paraId="7874931E" w14:textId="77777777" w:rsidR="007372E3" w:rsidRPr="00145FCF" w:rsidRDefault="007372E3" w:rsidP="007372E3">
            <w:pPr>
              <w:spacing w:after="160"/>
              <w:rPr>
                <w:sz w:val="22"/>
                <w:szCs w:val="22"/>
              </w:rPr>
            </w:pPr>
            <w:r w:rsidRPr="00145FCF">
              <w:rPr>
                <w:rFonts w:cs="Times New Roman"/>
                <w:sz w:val="22"/>
                <w:szCs w:val="22"/>
              </w:rPr>
              <w:t>For å kunne etterprøve at miljøkravene under byggefasen blir ivaretatt må kontrollen innebære en fysisk tilstedeværelse av tilsynspersonell og stedlig inspeksjon er valgt som den mest effektive kontrollmetoden.</w:t>
            </w:r>
          </w:p>
        </w:tc>
      </w:tr>
    </w:tbl>
    <w:p w14:paraId="0FF557A2" w14:textId="77777777" w:rsidR="0002602C" w:rsidRPr="00145FCF" w:rsidRDefault="0002602C" w:rsidP="0002602C">
      <w:pPr>
        <w:pStyle w:val="Brdtekst"/>
        <w:spacing w:after="0"/>
      </w:pPr>
    </w:p>
    <w:tbl>
      <w:tblPr>
        <w:tblStyle w:val="Tabellrutenett4"/>
        <w:tblW w:w="9351" w:type="dxa"/>
        <w:tblLook w:val="04A0" w:firstRow="1" w:lastRow="0" w:firstColumn="1" w:lastColumn="0" w:noHBand="0" w:noVBand="1"/>
      </w:tblPr>
      <w:tblGrid>
        <w:gridCol w:w="2689"/>
        <w:gridCol w:w="6662"/>
      </w:tblGrid>
      <w:tr w:rsidR="00BD2F75" w:rsidRPr="00145FCF" w14:paraId="1C461355" w14:textId="77777777" w:rsidTr="005B3BAD">
        <w:tc>
          <w:tcPr>
            <w:tcW w:w="2689" w:type="dxa"/>
            <w:shd w:val="clear" w:color="auto" w:fill="0D0D0D" w:themeFill="text1" w:themeFillTint="F2"/>
          </w:tcPr>
          <w:p w14:paraId="238DE0C8" w14:textId="01562121" w:rsidR="00BD2F75" w:rsidRPr="00145FCF" w:rsidRDefault="005B3BAD" w:rsidP="00BD2F75">
            <w:pPr>
              <w:rPr>
                <w:color w:val="FFFFFF" w:themeColor="background1"/>
                <w:sz w:val="22"/>
                <w:szCs w:val="22"/>
              </w:rPr>
            </w:pPr>
            <w:r w:rsidRPr="00145FCF">
              <w:rPr>
                <w:color w:val="FFFFFF" w:themeColor="background1"/>
                <w:sz w:val="22"/>
                <w:szCs w:val="22"/>
              </w:rPr>
              <w:t>Energiforsyningsberedskap</w:t>
            </w:r>
          </w:p>
        </w:tc>
        <w:tc>
          <w:tcPr>
            <w:tcW w:w="6662" w:type="dxa"/>
            <w:shd w:val="clear" w:color="auto" w:fill="0D0D0D" w:themeFill="text1" w:themeFillTint="F2"/>
          </w:tcPr>
          <w:p w14:paraId="63363780" w14:textId="1CE1421D"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14F52982" w14:textId="6544FA93" w:rsidR="00BD2F75" w:rsidRPr="00145FCF" w:rsidRDefault="00BD2F75" w:rsidP="00BD2F75">
            <w:pPr>
              <w:rPr>
                <w:color w:val="FFFFFF" w:themeColor="background1"/>
                <w:sz w:val="22"/>
                <w:szCs w:val="22"/>
              </w:rPr>
            </w:pPr>
          </w:p>
        </w:tc>
      </w:tr>
      <w:tr w:rsidR="00BD2F75" w:rsidRPr="00145FCF" w14:paraId="3FCEAD1A" w14:textId="77777777" w:rsidTr="005B3BAD">
        <w:tc>
          <w:tcPr>
            <w:tcW w:w="2689" w:type="dxa"/>
          </w:tcPr>
          <w:p w14:paraId="476052B5" w14:textId="77777777" w:rsidR="00BD2F75" w:rsidRPr="00145FCF" w:rsidRDefault="00BD2F75" w:rsidP="00BD2F75">
            <w:pPr>
              <w:rPr>
                <w:i/>
                <w:sz w:val="22"/>
                <w:szCs w:val="22"/>
                <w:highlight w:val="yellow"/>
              </w:rPr>
            </w:pPr>
            <w:r w:rsidRPr="00145FCF">
              <w:rPr>
                <w:i/>
                <w:sz w:val="22"/>
                <w:szCs w:val="22"/>
              </w:rPr>
              <w:t>Tema</w:t>
            </w:r>
          </w:p>
        </w:tc>
        <w:tc>
          <w:tcPr>
            <w:tcW w:w="6662" w:type="dxa"/>
          </w:tcPr>
          <w:p w14:paraId="5551D7BF" w14:textId="77777777" w:rsidR="00BD2F75" w:rsidRPr="00145FCF" w:rsidRDefault="00BD2F75" w:rsidP="00BD2F75">
            <w:pPr>
              <w:spacing w:after="160"/>
              <w:rPr>
                <w:sz w:val="22"/>
                <w:szCs w:val="22"/>
              </w:rPr>
            </w:pPr>
            <w:r w:rsidRPr="00145FCF">
              <w:rPr>
                <w:rFonts w:cs="Times New Roman"/>
                <w:sz w:val="22"/>
                <w:szCs w:val="22"/>
              </w:rPr>
              <w:t>Det vil være høyt fokus på kjent sårbarhet og prioritering av de viktigste anleggene, basert på risiko og vesentlighet.</w:t>
            </w:r>
            <w:r w:rsidRPr="00145FCF">
              <w:rPr>
                <w:sz w:val="22"/>
                <w:szCs w:val="22"/>
              </w:rPr>
              <w:t xml:space="preserve"> </w:t>
            </w:r>
          </w:p>
        </w:tc>
      </w:tr>
      <w:tr w:rsidR="00BD2F75" w:rsidRPr="00145FCF" w14:paraId="23C97421" w14:textId="77777777" w:rsidTr="005B3BAD">
        <w:tc>
          <w:tcPr>
            <w:tcW w:w="2689" w:type="dxa"/>
          </w:tcPr>
          <w:p w14:paraId="76D39BCE" w14:textId="77777777" w:rsidR="00BD2F75" w:rsidRPr="00145FCF" w:rsidRDefault="00BD2F75" w:rsidP="00BD2F75">
            <w:pPr>
              <w:rPr>
                <w:i/>
                <w:sz w:val="22"/>
                <w:szCs w:val="22"/>
              </w:rPr>
            </w:pPr>
            <w:r w:rsidRPr="00145FCF">
              <w:rPr>
                <w:i/>
                <w:sz w:val="22"/>
                <w:szCs w:val="22"/>
              </w:rPr>
              <w:t>Objekter</w:t>
            </w:r>
          </w:p>
        </w:tc>
        <w:tc>
          <w:tcPr>
            <w:tcW w:w="6662" w:type="dxa"/>
          </w:tcPr>
          <w:p w14:paraId="2F0D141D" w14:textId="77777777" w:rsidR="00BD2F75" w:rsidRPr="00145FCF" w:rsidRDefault="00BD2F75" w:rsidP="00BD2F75">
            <w:pPr>
              <w:spacing w:after="160"/>
              <w:rPr>
                <w:rFonts w:cs="Times New Roman"/>
                <w:sz w:val="22"/>
                <w:szCs w:val="22"/>
              </w:rPr>
            </w:pPr>
            <w:r w:rsidRPr="00145FCF">
              <w:rPr>
                <w:rFonts w:cs="Times New Roman"/>
                <w:sz w:val="22"/>
                <w:szCs w:val="22"/>
              </w:rPr>
              <w:t xml:space="preserve">Hovedsakelig enheter i kraftforsyningens beredskapsorganisasjon (KBO). </w:t>
            </w:r>
          </w:p>
        </w:tc>
      </w:tr>
      <w:tr w:rsidR="00BD2F75" w:rsidRPr="00145FCF" w14:paraId="1BC62566" w14:textId="77777777" w:rsidTr="005B3BAD">
        <w:tc>
          <w:tcPr>
            <w:tcW w:w="2689" w:type="dxa"/>
          </w:tcPr>
          <w:p w14:paraId="0278D66E" w14:textId="77777777" w:rsidR="00BD2F75" w:rsidRPr="00145FCF" w:rsidRDefault="00BD2F75" w:rsidP="00BD2F75">
            <w:pPr>
              <w:rPr>
                <w:i/>
                <w:sz w:val="22"/>
                <w:szCs w:val="22"/>
              </w:rPr>
            </w:pPr>
            <w:r w:rsidRPr="00145FCF">
              <w:rPr>
                <w:i/>
                <w:sz w:val="22"/>
                <w:szCs w:val="22"/>
              </w:rPr>
              <w:t>Kontrollmetoder</w:t>
            </w:r>
          </w:p>
        </w:tc>
        <w:tc>
          <w:tcPr>
            <w:tcW w:w="6662" w:type="dxa"/>
          </w:tcPr>
          <w:p w14:paraId="70C6F587" w14:textId="77777777" w:rsidR="00BD2F75" w:rsidRPr="00145FCF" w:rsidRDefault="00BD2F75" w:rsidP="00BD2F75">
            <w:pPr>
              <w:spacing w:after="160"/>
              <w:rPr>
                <w:sz w:val="22"/>
                <w:szCs w:val="22"/>
              </w:rPr>
            </w:pPr>
            <w:r w:rsidRPr="00145FCF">
              <w:rPr>
                <w:rFonts w:cs="Times New Roman"/>
                <w:sz w:val="22"/>
                <w:szCs w:val="22"/>
              </w:rPr>
              <w:t>Revisjon, skriftlig kontroll</w:t>
            </w:r>
          </w:p>
        </w:tc>
      </w:tr>
    </w:tbl>
    <w:p w14:paraId="5DD0FFF0" w14:textId="77777777" w:rsidR="00BD2F75" w:rsidRDefault="00BD2F75"/>
    <w:p w14:paraId="5F792C47" w14:textId="77777777" w:rsidR="00976300" w:rsidRDefault="00976300"/>
    <w:p w14:paraId="46A48F96" w14:textId="77777777" w:rsidR="00976300" w:rsidRPr="00145FCF" w:rsidRDefault="00976300"/>
    <w:tbl>
      <w:tblPr>
        <w:tblStyle w:val="Tabellrutenett4"/>
        <w:tblW w:w="9351" w:type="dxa"/>
        <w:tblLook w:val="04A0" w:firstRow="1" w:lastRow="0" w:firstColumn="1" w:lastColumn="0" w:noHBand="0" w:noVBand="1"/>
      </w:tblPr>
      <w:tblGrid>
        <w:gridCol w:w="2689"/>
        <w:gridCol w:w="6662"/>
      </w:tblGrid>
      <w:tr w:rsidR="005B3BAD" w:rsidRPr="00145FCF" w14:paraId="1AD67950" w14:textId="77777777" w:rsidTr="005B3BAD">
        <w:tc>
          <w:tcPr>
            <w:tcW w:w="2689" w:type="dxa"/>
            <w:shd w:val="clear" w:color="auto" w:fill="0D0D0D" w:themeFill="text1" w:themeFillTint="F2"/>
          </w:tcPr>
          <w:p w14:paraId="1B956D15" w14:textId="369DD41A" w:rsidR="005B3BAD" w:rsidRPr="00145FCF" w:rsidRDefault="005B3BAD" w:rsidP="005B3BAD">
            <w:pPr>
              <w:rPr>
                <w:color w:val="FFFFFF" w:themeColor="background1"/>
                <w:sz w:val="22"/>
                <w:szCs w:val="22"/>
              </w:rPr>
            </w:pPr>
            <w:r w:rsidRPr="00145FCF">
              <w:rPr>
                <w:color w:val="FFFFFF" w:themeColor="background1"/>
                <w:sz w:val="22"/>
                <w:szCs w:val="22"/>
              </w:rPr>
              <w:lastRenderedPageBreak/>
              <w:t>Fjernvarmeanlegg</w:t>
            </w:r>
          </w:p>
        </w:tc>
        <w:tc>
          <w:tcPr>
            <w:tcW w:w="6662" w:type="dxa"/>
            <w:shd w:val="clear" w:color="auto" w:fill="0D0D0D" w:themeFill="text1" w:themeFillTint="F2"/>
          </w:tcPr>
          <w:p w14:paraId="300CC4C2" w14:textId="08B2117B"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4E868CDA" w14:textId="4D0FF4C6" w:rsidR="005B3BAD" w:rsidRPr="00145FCF" w:rsidRDefault="005B3BAD" w:rsidP="005B3BAD">
            <w:pPr>
              <w:rPr>
                <w:color w:val="FFFFFF" w:themeColor="background1"/>
                <w:sz w:val="22"/>
                <w:szCs w:val="22"/>
              </w:rPr>
            </w:pPr>
          </w:p>
        </w:tc>
      </w:tr>
      <w:tr w:rsidR="005B3BAD" w:rsidRPr="00145FCF" w14:paraId="6B2CAA78" w14:textId="77777777" w:rsidTr="005B3BAD">
        <w:tc>
          <w:tcPr>
            <w:tcW w:w="2689" w:type="dxa"/>
          </w:tcPr>
          <w:p w14:paraId="30F8BE0B" w14:textId="77777777" w:rsidR="005B3BAD" w:rsidRPr="00145FCF" w:rsidRDefault="005B3BAD" w:rsidP="005B3BAD">
            <w:pPr>
              <w:rPr>
                <w:i/>
                <w:sz w:val="22"/>
                <w:szCs w:val="22"/>
              </w:rPr>
            </w:pPr>
            <w:r w:rsidRPr="00145FCF">
              <w:rPr>
                <w:i/>
                <w:sz w:val="22"/>
                <w:szCs w:val="22"/>
              </w:rPr>
              <w:t>Tema</w:t>
            </w:r>
          </w:p>
        </w:tc>
        <w:tc>
          <w:tcPr>
            <w:tcW w:w="6662" w:type="dxa"/>
          </w:tcPr>
          <w:p w14:paraId="519F6684" w14:textId="77777777" w:rsidR="005B3BAD" w:rsidRPr="00145FCF" w:rsidRDefault="005B3BAD" w:rsidP="005B3BAD">
            <w:pPr>
              <w:spacing w:after="160"/>
              <w:rPr>
                <w:rFonts w:cs="Times New Roman"/>
                <w:sz w:val="22"/>
                <w:szCs w:val="22"/>
              </w:rPr>
            </w:pPr>
            <w:r w:rsidRPr="00145FCF">
              <w:rPr>
                <w:rFonts w:cs="Times New Roman"/>
                <w:sz w:val="22"/>
                <w:szCs w:val="22"/>
              </w:rPr>
              <w:t>Det gjennomføres tilsyn med fjernvarmeanlegg relatert til konsesjonsvilkår samt krav i energilov, energilovforskrift og beredskapsforskrift.</w:t>
            </w:r>
          </w:p>
        </w:tc>
      </w:tr>
      <w:tr w:rsidR="005B3BAD" w:rsidRPr="00145FCF" w14:paraId="558CE40A" w14:textId="77777777" w:rsidTr="005B3BAD">
        <w:tc>
          <w:tcPr>
            <w:tcW w:w="2689" w:type="dxa"/>
          </w:tcPr>
          <w:p w14:paraId="2B94B99A" w14:textId="77777777" w:rsidR="005B3BAD" w:rsidRPr="00145FCF" w:rsidRDefault="005B3BAD" w:rsidP="005B3BAD">
            <w:pPr>
              <w:rPr>
                <w:i/>
                <w:sz w:val="22"/>
                <w:szCs w:val="22"/>
              </w:rPr>
            </w:pPr>
            <w:r w:rsidRPr="00145FCF">
              <w:rPr>
                <w:i/>
                <w:sz w:val="22"/>
                <w:szCs w:val="22"/>
              </w:rPr>
              <w:t>Tilsynsobjekter</w:t>
            </w:r>
          </w:p>
        </w:tc>
        <w:tc>
          <w:tcPr>
            <w:tcW w:w="6662" w:type="dxa"/>
          </w:tcPr>
          <w:p w14:paraId="03A1141A" w14:textId="77777777" w:rsidR="005B3BAD" w:rsidRPr="00145FCF" w:rsidRDefault="005B3BAD" w:rsidP="005B3BAD">
            <w:pPr>
              <w:spacing w:after="160"/>
              <w:rPr>
                <w:rFonts w:cs="Times New Roman"/>
                <w:sz w:val="22"/>
                <w:szCs w:val="22"/>
              </w:rPr>
            </w:pPr>
            <w:r w:rsidRPr="00145FCF">
              <w:rPr>
                <w:rFonts w:cs="Times New Roman"/>
                <w:sz w:val="22"/>
                <w:szCs w:val="22"/>
              </w:rPr>
              <w:t>Utvalgte selskaper som er idriftsatt</w:t>
            </w:r>
          </w:p>
        </w:tc>
      </w:tr>
      <w:tr w:rsidR="005B3BAD" w:rsidRPr="00145FCF" w14:paraId="6E5BAF78" w14:textId="77777777" w:rsidTr="005B3BAD">
        <w:tc>
          <w:tcPr>
            <w:tcW w:w="2689" w:type="dxa"/>
          </w:tcPr>
          <w:p w14:paraId="19152F1F" w14:textId="77777777" w:rsidR="005B3BAD" w:rsidRPr="00145FCF" w:rsidRDefault="005B3BAD" w:rsidP="005B3BAD">
            <w:pPr>
              <w:rPr>
                <w:i/>
                <w:sz w:val="22"/>
                <w:szCs w:val="22"/>
              </w:rPr>
            </w:pPr>
            <w:r w:rsidRPr="00145FCF">
              <w:rPr>
                <w:i/>
                <w:sz w:val="22"/>
                <w:szCs w:val="22"/>
              </w:rPr>
              <w:t>Tilsynsmetoder</w:t>
            </w:r>
          </w:p>
        </w:tc>
        <w:tc>
          <w:tcPr>
            <w:tcW w:w="6662" w:type="dxa"/>
          </w:tcPr>
          <w:p w14:paraId="5CBD89C8" w14:textId="77777777" w:rsidR="005B3BAD" w:rsidRPr="00145FCF" w:rsidRDefault="005B3BAD" w:rsidP="005B3BAD">
            <w:pPr>
              <w:spacing w:after="160"/>
              <w:rPr>
                <w:rFonts w:cs="Times New Roman"/>
                <w:sz w:val="22"/>
                <w:szCs w:val="22"/>
              </w:rPr>
            </w:pPr>
            <w:r w:rsidRPr="00145FCF">
              <w:rPr>
                <w:rFonts w:cs="Times New Roman"/>
                <w:sz w:val="22"/>
                <w:szCs w:val="22"/>
              </w:rPr>
              <w:t>Revisjon</w:t>
            </w:r>
          </w:p>
        </w:tc>
      </w:tr>
    </w:tbl>
    <w:p w14:paraId="35F78CC1" w14:textId="77777777" w:rsidR="00BD2F75" w:rsidRPr="00145FCF" w:rsidRDefault="00BD2F75"/>
    <w:tbl>
      <w:tblPr>
        <w:tblStyle w:val="Tabellrutenett4"/>
        <w:tblW w:w="9351" w:type="dxa"/>
        <w:tblLook w:val="04A0" w:firstRow="1" w:lastRow="0" w:firstColumn="1" w:lastColumn="0" w:noHBand="0" w:noVBand="1"/>
      </w:tblPr>
      <w:tblGrid>
        <w:gridCol w:w="2689"/>
        <w:gridCol w:w="6662"/>
      </w:tblGrid>
      <w:tr w:rsidR="00BD2F75" w:rsidRPr="00145FCF" w14:paraId="7D6969B4" w14:textId="77777777" w:rsidTr="005B3BAD">
        <w:tc>
          <w:tcPr>
            <w:tcW w:w="2689" w:type="dxa"/>
            <w:shd w:val="clear" w:color="auto" w:fill="0D0D0D" w:themeFill="text1" w:themeFillTint="F2"/>
          </w:tcPr>
          <w:p w14:paraId="4E678B6C" w14:textId="7778D61C" w:rsidR="00BD2F75" w:rsidRPr="00145FCF" w:rsidRDefault="005B3BAD" w:rsidP="00BD2F75">
            <w:pPr>
              <w:rPr>
                <w:color w:val="FFFFFF" w:themeColor="background1"/>
                <w:sz w:val="22"/>
                <w:szCs w:val="22"/>
              </w:rPr>
            </w:pPr>
            <w:r w:rsidRPr="00145FCF">
              <w:rPr>
                <w:color w:val="FFFFFF" w:themeColor="background1"/>
                <w:sz w:val="22"/>
                <w:szCs w:val="22"/>
              </w:rPr>
              <w:t>Overføringsanlegg</w:t>
            </w:r>
          </w:p>
        </w:tc>
        <w:tc>
          <w:tcPr>
            <w:tcW w:w="6662" w:type="dxa"/>
            <w:shd w:val="clear" w:color="auto" w:fill="0D0D0D" w:themeFill="text1" w:themeFillTint="F2"/>
          </w:tcPr>
          <w:p w14:paraId="1EDCEF9E" w14:textId="32553EFA" w:rsidR="005B3BAD" w:rsidRPr="00145FCF" w:rsidRDefault="005B3BAD" w:rsidP="005B3BAD">
            <w:pPr>
              <w:pStyle w:val="Brdtekst"/>
              <w:spacing w:after="0"/>
              <w:rPr>
                <w:color w:val="FFFFFF" w:themeColor="background1"/>
                <w:sz w:val="22"/>
                <w:szCs w:val="22"/>
              </w:rPr>
            </w:pPr>
            <w:r w:rsidRPr="00145FCF">
              <w:rPr>
                <w:color w:val="FFFFFF" w:themeColor="background1"/>
                <w:sz w:val="22"/>
                <w:szCs w:val="22"/>
              </w:rPr>
              <w:t>Tilsyns- og beredskapsavdelingen – seksjon for beredskap</w:t>
            </w:r>
          </w:p>
          <w:p w14:paraId="755C9FBF" w14:textId="1EE544D1" w:rsidR="00BD2F75" w:rsidRPr="00145FCF" w:rsidRDefault="00BD2F75" w:rsidP="00BD2F75">
            <w:pPr>
              <w:rPr>
                <w:color w:val="FFFFFF" w:themeColor="background1"/>
                <w:sz w:val="22"/>
                <w:szCs w:val="22"/>
              </w:rPr>
            </w:pPr>
          </w:p>
        </w:tc>
      </w:tr>
      <w:tr w:rsidR="00BD2F75" w:rsidRPr="00145FCF" w14:paraId="0A989778" w14:textId="77777777" w:rsidTr="005B3BAD">
        <w:tc>
          <w:tcPr>
            <w:tcW w:w="2689" w:type="dxa"/>
          </w:tcPr>
          <w:p w14:paraId="50092064" w14:textId="77777777" w:rsidR="00BD2F75" w:rsidRPr="00145FCF" w:rsidRDefault="00BD2F75" w:rsidP="00BD2F75">
            <w:pPr>
              <w:rPr>
                <w:i/>
                <w:sz w:val="22"/>
                <w:szCs w:val="22"/>
              </w:rPr>
            </w:pPr>
            <w:r w:rsidRPr="00145FCF">
              <w:rPr>
                <w:i/>
                <w:sz w:val="22"/>
                <w:szCs w:val="22"/>
              </w:rPr>
              <w:t>Tema</w:t>
            </w:r>
          </w:p>
        </w:tc>
        <w:tc>
          <w:tcPr>
            <w:tcW w:w="6662" w:type="dxa"/>
          </w:tcPr>
          <w:p w14:paraId="092C7BDE" w14:textId="77777777" w:rsidR="00BD2F75" w:rsidRPr="00145FCF" w:rsidRDefault="00BD2F75" w:rsidP="00BD2F75">
            <w:pPr>
              <w:spacing w:after="160"/>
              <w:rPr>
                <w:rFonts w:cs="Times New Roman"/>
                <w:sz w:val="22"/>
                <w:szCs w:val="22"/>
              </w:rPr>
            </w:pPr>
            <w:r w:rsidRPr="00145FCF">
              <w:rPr>
                <w:rFonts w:cs="Times New Roman"/>
                <w:sz w:val="22"/>
                <w:szCs w:val="22"/>
              </w:rPr>
              <w:t>Det vil være høyt fokus på kjent sårbarhet, og prioritering av de viktigste anleggene, basert på risiko og vesentlighet Det vektlegges dessuten å føre tilsyn med anlegg som ikke har hatt tilsyn de siste 10 år.</w:t>
            </w:r>
          </w:p>
        </w:tc>
      </w:tr>
      <w:tr w:rsidR="00BD2F75" w:rsidRPr="00145FCF" w14:paraId="5BCC04D8" w14:textId="77777777" w:rsidTr="005B3BAD">
        <w:tc>
          <w:tcPr>
            <w:tcW w:w="2689" w:type="dxa"/>
          </w:tcPr>
          <w:p w14:paraId="1AF78354" w14:textId="77777777" w:rsidR="00BD2F75" w:rsidRPr="00145FCF" w:rsidRDefault="00BD2F75" w:rsidP="00BD2F75">
            <w:pPr>
              <w:rPr>
                <w:i/>
                <w:sz w:val="22"/>
                <w:szCs w:val="22"/>
              </w:rPr>
            </w:pPr>
            <w:r w:rsidRPr="00145FCF">
              <w:rPr>
                <w:i/>
                <w:sz w:val="22"/>
                <w:szCs w:val="22"/>
              </w:rPr>
              <w:t>Tilsynsobjekt</w:t>
            </w:r>
          </w:p>
        </w:tc>
        <w:tc>
          <w:tcPr>
            <w:tcW w:w="6662" w:type="dxa"/>
          </w:tcPr>
          <w:p w14:paraId="2475F1DA" w14:textId="77777777" w:rsidR="00BD2F75" w:rsidRPr="00145FCF" w:rsidRDefault="00BD2F75" w:rsidP="00BD2F75">
            <w:pPr>
              <w:spacing w:after="160"/>
              <w:rPr>
                <w:rFonts w:cs="Times New Roman"/>
                <w:sz w:val="22"/>
                <w:szCs w:val="22"/>
              </w:rPr>
            </w:pPr>
            <w:r w:rsidRPr="00145FCF">
              <w:rPr>
                <w:rFonts w:cs="Times New Roman"/>
                <w:sz w:val="22"/>
                <w:szCs w:val="22"/>
              </w:rPr>
              <w:t>Hovedsakelig enheter i kraftforsyningens beredskapsorganisasjon (KBO).</w:t>
            </w:r>
          </w:p>
        </w:tc>
      </w:tr>
      <w:tr w:rsidR="00BD2F75" w:rsidRPr="00145FCF" w14:paraId="14347A18" w14:textId="77777777" w:rsidTr="005B3BAD">
        <w:tc>
          <w:tcPr>
            <w:tcW w:w="2689" w:type="dxa"/>
          </w:tcPr>
          <w:p w14:paraId="3CE2CBB4" w14:textId="77777777" w:rsidR="00BD2F75" w:rsidRPr="00145FCF" w:rsidRDefault="00BD2F75" w:rsidP="00BD2F75">
            <w:pPr>
              <w:rPr>
                <w:i/>
                <w:sz w:val="22"/>
                <w:szCs w:val="22"/>
              </w:rPr>
            </w:pPr>
            <w:r w:rsidRPr="00145FCF">
              <w:rPr>
                <w:i/>
                <w:sz w:val="22"/>
                <w:szCs w:val="22"/>
              </w:rPr>
              <w:t>Tilsynsmetoder</w:t>
            </w:r>
          </w:p>
        </w:tc>
        <w:tc>
          <w:tcPr>
            <w:tcW w:w="6662" w:type="dxa"/>
          </w:tcPr>
          <w:p w14:paraId="63AD8E2F" w14:textId="77777777" w:rsidR="00BD2F75" w:rsidRPr="00145FCF" w:rsidRDefault="00BD2F75" w:rsidP="00BD2F75">
            <w:pPr>
              <w:spacing w:after="160"/>
              <w:rPr>
                <w:rFonts w:cs="Times New Roman"/>
                <w:sz w:val="22"/>
                <w:szCs w:val="22"/>
              </w:rPr>
            </w:pPr>
            <w:r w:rsidRPr="00145FCF">
              <w:rPr>
                <w:rFonts w:cs="Times New Roman"/>
                <w:sz w:val="22"/>
                <w:szCs w:val="22"/>
              </w:rPr>
              <w:t>Revisjon, skriftlig kontroll</w:t>
            </w:r>
          </w:p>
        </w:tc>
      </w:tr>
    </w:tbl>
    <w:p w14:paraId="0FF557F1" w14:textId="77777777" w:rsidR="0002602C" w:rsidRDefault="0002602C" w:rsidP="00746468"/>
    <w:tbl>
      <w:tblPr>
        <w:tblStyle w:val="Tabellrutenett"/>
        <w:tblW w:w="9351" w:type="dxa"/>
        <w:tblLook w:val="04A0" w:firstRow="1" w:lastRow="0" w:firstColumn="1" w:lastColumn="0" w:noHBand="0" w:noVBand="1"/>
      </w:tblPr>
      <w:tblGrid>
        <w:gridCol w:w="2689"/>
        <w:gridCol w:w="6662"/>
      </w:tblGrid>
      <w:tr w:rsidR="00746468" w14:paraId="0FF557F6" w14:textId="77777777" w:rsidTr="005B3BAD">
        <w:tc>
          <w:tcPr>
            <w:tcW w:w="2689" w:type="dxa"/>
            <w:shd w:val="clear" w:color="auto" w:fill="0D0D0D" w:themeFill="text1" w:themeFillTint="F2"/>
          </w:tcPr>
          <w:p w14:paraId="0FF557F2" w14:textId="77777777" w:rsidR="00746468" w:rsidRPr="00C15798" w:rsidRDefault="00791308" w:rsidP="00EC7F07">
            <w:pPr>
              <w:pStyle w:val="Brdtekst"/>
              <w:spacing w:after="0"/>
              <w:rPr>
                <w:color w:val="FFFFFF" w:themeColor="background1"/>
              </w:rPr>
            </w:pPr>
            <w:r w:rsidRPr="00C15798">
              <w:rPr>
                <w:color w:val="FFFFFF" w:themeColor="background1"/>
              </w:rPr>
              <w:t>Rasjoneringsplaner</w:t>
            </w:r>
          </w:p>
        </w:tc>
        <w:tc>
          <w:tcPr>
            <w:tcW w:w="6662" w:type="dxa"/>
            <w:shd w:val="clear" w:color="auto" w:fill="0D0D0D" w:themeFill="text1" w:themeFillTint="F2"/>
          </w:tcPr>
          <w:p w14:paraId="4347ED9B" w14:textId="77777777" w:rsidR="004B3795" w:rsidRDefault="00907129" w:rsidP="00791308">
            <w:pPr>
              <w:pStyle w:val="Brdtekst"/>
              <w:spacing w:after="0"/>
              <w:rPr>
                <w:color w:val="FFFFFF" w:themeColor="background1"/>
              </w:rPr>
            </w:pPr>
            <w:r w:rsidRPr="00145FCF">
              <w:rPr>
                <w:color w:val="FFFFFF" w:themeColor="background1"/>
              </w:rPr>
              <w:t>Tilsyns- og beredskapsavdelingen – seksjon for beredskap</w:t>
            </w:r>
          </w:p>
          <w:p w14:paraId="0FF557F5" w14:textId="1EDA99B8" w:rsidR="00907129" w:rsidRPr="00EE329D" w:rsidRDefault="00907129" w:rsidP="00791308">
            <w:pPr>
              <w:pStyle w:val="Brdtekst"/>
              <w:spacing w:after="0"/>
              <w:rPr>
                <w:color w:val="FFFFFF" w:themeColor="background1"/>
              </w:rPr>
            </w:pPr>
          </w:p>
        </w:tc>
      </w:tr>
      <w:tr w:rsidR="00746468" w14:paraId="0FF557F9" w14:textId="77777777" w:rsidTr="005B3BAD">
        <w:tc>
          <w:tcPr>
            <w:tcW w:w="2689" w:type="dxa"/>
          </w:tcPr>
          <w:p w14:paraId="0FF557F7" w14:textId="77777777" w:rsidR="00746468" w:rsidRPr="00EE329D" w:rsidRDefault="00746468" w:rsidP="00EC7F07">
            <w:pPr>
              <w:pStyle w:val="Brdtekst"/>
              <w:spacing w:after="0"/>
              <w:rPr>
                <w:i/>
              </w:rPr>
            </w:pPr>
            <w:r w:rsidRPr="00907129">
              <w:rPr>
                <w:i/>
              </w:rPr>
              <w:t>Tema</w:t>
            </w:r>
          </w:p>
        </w:tc>
        <w:tc>
          <w:tcPr>
            <w:tcW w:w="6662" w:type="dxa"/>
          </w:tcPr>
          <w:p w14:paraId="0FF557F8" w14:textId="0C6CFB70" w:rsidR="00746468" w:rsidRPr="00907129" w:rsidRDefault="008A3C47" w:rsidP="00B55C9A">
            <w:pPr>
              <w:pStyle w:val="Brdtekst"/>
              <w:rPr>
                <w:rFonts w:cs="Times New Roman"/>
                <w:szCs w:val="20"/>
              </w:rPr>
            </w:pPr>
            <w:r w:rsidRPr="00907129">
              <w:rPr>
                <w:szCs w:val="20"/>
              </w:rPr>
              <w:t>Seksjon</w:t>
            </w:r>
            <w:r w:rsidR="00B66C37" w:rsidRPr="00907129">
              <w:rPr>
                <w:szCs w:val="20"/>
              </w:rPr>
              <w:t>en</w:t>
            </w:r>
            <w:r w:rsidRPr="00907129">
              <w:rPr>
                <w:szCs w:val="20"/>
              </w:rPr>
              <w:t xml:space="preserve"> utfører tilsyn på vegne av </w:t>
            </w:r>
            <w:r w:rsidR="00B55C9A">
              <w:rPr>
                <w:szCs w:val="20"/>
              </w:rPr>
              <w:t xml:space="preserve">og i samarbeid med </w:t>
            </w:r>
            <w:r w:rsidRPr="00907129">
              <w:rPr>
                <w:szCs w:val="20"/>
              </w:rPr>
              <w:t>seksjon for kraftsystem (EK). Fokus for tilsyn: Plan for samarbeid med Fylkesmann, kommuner, innehavere av samfunnskritiske funksjoner og andre viktige aktører ved forberedelsene til og gjennomføring av rasjonering og Plan for gjennomføring av sonevis roterende utkoblinger (Vedtak av 6.11.2006).</w:t>
            </w:r>
            <w:r w:rsidR="00B55C9A">
              <w:rPr>
                <w:szCs w:val="20"/>
              </w:rPr>
              <w:t xml:space="preserve"> Utover tilsyn vil det også være stort fokus på veiledning i 2018.</w:t>
            </w:r>
          </w:p>
        </w:tc>
      </w:tr>
      <w:tr w:rsidR="00746468" w14:paraId="0FF557FF" w14:textId="77777777" w:rsidTr="005B3BAD">
        <w:tc>
          <w:tcPr>
            <w:tcW w:w="2689" w:type="dxa"/>
          </w:tcPr>
          <w:p w14:paraId="0FF557FD" w14:textId="77777777" w:rsidR="00746468" w:rsidRPr="00EE329D" w:rsidRDefault="00746468" w:rsidP="00EC7F07">
            <w:pPr>
              <w:pStyle w:val="Brdtekst"/>
              <w:spacing w:after="0"/>
              <w:rPr>
                <w:i/>
              </w:rPr>
            </w:pPr>
            <w:r w:rsidRPr="00EE329D">
              <w:rPr>
                <w:i/>
              </w:rPr>
              <w:t>Tilsynsobjekter</w:t>
            </w:r>
          </w:p>
        </w:tc>
        <w:tc>
          <w:tcPr>
            <w:tcW w:w="6662" w:type="dxa"/>
          </w:tcPr>
          <w:p w14:paraId="0FF557FE" w14:textId="73455343" w:rsidR="00746468" w:rsidRPr="00907129" w:rsidRDefault="008A3C47" w:rsidP="00B55C9A">
            <w:pPr>
              <w:pStyle w:val="Brdtekst"/>
              <w:rPr>
                <w:rFonts w:cs="Times New Roman"/>
                <w:szCs w:val="20"/>
              </w:rPr>
            </w:pPr>
            <w:r w:rsidRPr="00907129">
              <w:rPr>
                <w:rFonts w:cs="Times New Roman"/>
                <w:szCs w:val="20"/>
              </w:rPr>
              <w:t>Enheter i kraftforsyningens beredskapsorganisasjon (KBO) med nettvirksomhet</w:t>
            </w:r>
            <w:r w:rsidR="00B55C9A">
              <w:rPr>
                <w:rFonts w:cs="Times New Roman"/>
                <w:szCs w:val="20"/>
              </w:rPr>
              <w:t>. Utvelgelse av objektene samordnes med valgte objekter for generelle beredskapstilsyn hos seksjon for beredskap.</w:t>
            </w:r>
          </w:p>
        </w:tc>
      </w:tr>
      <w:tr w:rsidR="00746468" w14:paraId="0FF55802" w14:textId="77777777" w:rsidTr="005B3BAD">
        <w:tc>
          <w:tcPr>
            <w:tcW w:w="2689" w:type="dxa"/>
          </w:tcPr>
          <w:p w14:paraId="0FF55800" w14:textId="77777777" w:rsidR="00746468" w:rsidRPr="00EE329D" w:rsidRDefault="00746468" w:rsidP="00EC7F07">
            <w:pPr>
              <w:pStyle w:val="Brdtekst"/>
              <w:spacing w:after="0"/>
              <w:rPr>
                <w:i/>
              </w:rPr>
            </w:pPr>
            <w:r w:rsidRPr="00EE329D">
              <w:rPr>
                <w:i/>
              </w:rPr>
              <w:t>Tilsynsmetoder</w:t>
            </w:r>
          </w:p>
        </w:tc>
        <w:tc>
          <w:tcPr>
            <w:tcW w:w="6662" w:type="dxa"/>
          </w:tcPr>
          <w:p w14:paraId="0FF55801" w14:textId="77777777" w:rsidR="00746468" w:rsidRPr="00907129" w:rsidRDefault="00746468" w:rsidP="00EC7F07">
            <w:pPr>
              <w:pStyle w:val="Brdtekst"/>
              <w:rPr>
                <w:rFonts w:cs="Times New Roman"/>
                <w:szCs w:val="20"/>
              </w:rPr>
            </w:pPr>
            <w:r w:rsidRPr="00907129">
              <w:rPr>
                <w:rFonts w:cs="Times New Roman"/>
                <w:szCs w:val="20"/>
              </w:rPr>
              <w:t>Revisjon</w:t>
            </w:r>
          </w:p>
        </w:tc>
      </w:tr>
    </w:tbl>
    <w:p w14:paraId="6D8420B0" w14:textId="5C16836D" w:rsidR="00786B78" w:rsidRDefault="00786B78"/>
    <w:tbl>
      <w:tblPr>
        <w:tblStyle w:val="Tabellrutenett"/>
        <w:tblW w:w="9351" w:type="dxa"/>
        <w:tblLook w:val="04A0" w:firstRow="1" w:lastRow="0" w:firstColumn="1" w:lastColumn="0" w:noHBand="0" w:noVBand="1"/>
      </w:tblPr>
      <w:tblGrid>
        <w:gridCol w:w="2689"/>
        <w:gridCol w:w="6662"/>
      </w:tblGrid>
      <w:tr w:rsidR="004E4A79" w:rsidRPr="00EE329D" w14:paraId="0FF5582C" w14:textId="77777777" w:rsidTr="007B1F37">
        <w:tc>
          <w:tcPr>
            <w:tcW w:w="2689" w:type="dxa"/>
            <w:shd w:val="clear" w:color="auto" w:fill="0D0D0D" w:themeFill="text1" w:themeFillTint="F2"/>
          </w:tcPr>
          <w:p w14:paraId="0FF55828" w14:textId="1017C43B" w:rsidR="004E4A79" w:rsidRPr="00791308" w:rsidRDefault="00C37398" w:rsidP="004E4A79">
            <w:pPr>
              <w:pStyle w:val="Brdtekst"/>
              <w:spacing w:after="0"/>
              <w:rPr>
                <w:color w:val="FFFFFF" w:themeColor="background1"/>
              </w:rPr>
            </w:pPr>
            <w:r w:rsidRPr="00C37398">
              <w:rPr>
                <w:color w:val="FFFFFF" w:themeColor="background1"/>
              </w:rPr>
              <w:t>Måle- og avregningssystemer</w:t>
            </w:r>
          </w:p>
        </w:tc>
        <w:tc>
          <w:tcPr>
            <w:tcW w:w="6662" w:type="dxa"/>
            <w:shd w:val="clear" w:color="auto" w:fill="0D0D0D" w:themeFill="text1" w:themeFillTint="F2"/>
          </w:tcPr>
          <w:p w14:paraId="0FF55829" w14:textId="295DB995" w:rsidR="004E4A79" w:rsidRPr="00791308" w:rsidRDefault="00C37398" w:rsidP="0075572C">
            <w:pPr>
              <w:pStyle w:val="Brdtekst"/>
              <w:spacing w:after="0"/>
              <w:rPr>
                <w:color w:val="FFFFFF" w:themeColor="background1"/>
              </w:rPr>
            </w:pPr>
            <w:r w:rsidRPr="00C37398">
              <w:rPr>
                <w:color w:val="FFFFFF" w:themeColor="background1"/>
              </w:rPr>
              <w:t xml:space="preserve">Reguleringsmyndigheten for energi </w:t>
            </w:r>
            <w:r w:rsidR="004E4A79" w:rsidRPr="00791308">
              <w:rPr>
                <w:color w:val="FFFFFF" w:themeColor="background1"/>
              </w:rPr>
              <w:t>–</w:t>
            </w:r>
          </w:p>
          <w:p w14:paraId="0FF5582A" w14:textId="77777777" w:rsidR="004E4A79" w:rsidRDefault="004E4A79" w:rsidP="0075572C">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sluttbrukermarkedet</w:t>
            </w:r>
          </w:p>
          <w:p w14:paraId="0FF5582B" w14:textId="77777777" w:rsidR="004E4A79" w:rsidRPr="00EE329D" w:rsidRDefault="004E4A79" w:rsidP="0075572C">
            <w:pPr>
              <w:pStyle w:val="Brdtekst"/>
              <w:spacing w:after="0"/>
              <w:rPr>
                <w:color w:val="FFFFFF" w:themeColor="background1"/>
              </w:rPr>
            </w:pPr>
          </w:p>
        </w:tc>
      </w:tr>
      <w:tr w:rsidR="001A62B2" w:rsidRPr="00D35DF0" w14:paraId="0FF5582F" w14:textId="77777777" w:rsidTr="007B1F37">
        <w:tc>
          <w:tcPr>
            <w:tcW w:w="2689" w:type="dxa"/>
          </w:tcPr>
          <w:p w14:paraId="0FF5582D" w14:textId="77777777" w:rsidR="001A62B2" w:rsidRPr="001E62C9" w:rsidRDefault="001A62B2" w:rsidP="001A62B2">
            <w:pPr>
              <w:pStyle w:val="Brdtekst"/>
              <w:spacing w:after="0"/>
              <w:rPr>
                <w:i/>
              </w:rPr>
            </w:pPr>
            <w:r w:rsidRPr="001E62C9">
              <w:rPr>
                <w:i/>
              </w:rPr>
              <w:t>Tema</w:t>
            </w:r>
          </w:p>
        </w:tc>
        <w:tc>
          <w:tcPr>
            <w:tcW w:w="6662" w:type="dxa"/>
          </w:tcPr>
          <w:p w14:paraId="0FF5582E" w14:textId="26CF1727" w:rsidR="001A62B2" w:rsidRPr="001E62C9" w:rsidRDefault="0076191B" w:rsidP="00B04A1D">
            <w:pPr>
              <w:pStyle w:val="Brdtekst"/>
              <w:rPr>
                <w:rFonts w:cs="Times New Roman"/>
                <w:szCs w:val="20"/>
                <w:highlight w:val="green"/>
              </w:rPr>
            </w:pPr>
            <w:r w:rsidRPr="0076191B">
              <w:rPr>
                <w:rFonts w:cs="Times New Roman"/>
                <w:szCs w:val="20"/>
              </w:rPr>
              <w:t>Krav til sikkerhet i AMS, fremdrift</w:t>
            </w:r>
            <w:r>
              <w:rPr>
                <w:rFonts w:cs="Times New Roman"/>
                <w:szCs w:val="20"/>
              </w:rPr>
              <w:t>en</w:t>
            </w:r>
            <w:r w:rsidRPr="0076191B">
              <w:rPr>
                <w:rFonts w:cs="Times New Roman"/>
                <w:szCs w:val="20"/>
              </w:rPr>
              <w:t xml:space="preserve"> for AMS-utrulling og </w:t>
            </w:r>
            <w:r w:rsidR="00B04A1D">
              <w:rPr>
                <w:rFonts w:cs="Times New Roman"/>
                <w:szCs w:val="20"/>
              </w:rPr>
              <w:t xml:space="preserve">krav </w:t>
            </w:r>
            <w:r w:rsidRPr="0076191B">
              <w:rPr>
                <w:rFonts w:cs="Times New Roman"/>
                <w:szCs w:val="20"/>
              </w:rPr>
              <w:t>i forbindelse med innføring av Elhub (datamigrering og aktørgodkjenning).</w:t>
            </w:r>
          </w:p>
        </w:tc>
      </w:tr>
      <w:tr w:rsidR="001A62B2" w:rsidRPr="00D35DF0" w14:paraId="0FF55835" w14:textId="77777777" w:rsidTr="007B1F37">
        <w:tc>
          <w:tcPr>
            <w:tcW w:w="2689" w:type="dxa"/>
          </w:tcPr>
          <w:p w14:paraId="0FF55833" w14:textId="77777777" w:rsidR="001A62B2" w:rsidRPr="001E62C9" w:rsidRDefault="001A62B2" w:rsidP="001A62B2">
            <w:pPr>
              <w:pStyle w:val="Brdtekst"/>
              <w:spacing w:after="0"/>
              <w:rPr>
                <w:i/>
              </w:rPr>
            </w:pPr>
            <w:r w:rsidRPr="001E62C9">
              <w:rPr>
                <w:i/>
              </w:rPr>
              <w:t>Tilsynsobjekter</w:t>
            </w:r>
          </w:p>
        </w:tc>
        <w:tc>
          <w:tcPr>
            <w:tcW w:w="6662" w:type="dxa"/>
          </w:tcPr>
          <w:p w14:paraId="0FF55834" w14:textId="02CF3333" w:rsidR="001A62B2" w:rsidRPr="001E62C9" w:rsidRDefault="001A62B2" w:rsidP="001A62B2">
            <w:pPr>
              <w:pStyle w:val="Brdtekst"/>
              <w:rPr>
                <w:rFonts w:cs="Times New Roman"/>
                <w:szCs w:val="20"/>
                <w:highlight w:val="green"/>
              </w:rPr>
            </w:pPr>
            <w:r w:rsidRPr="006856C7">
              <w:t>Nettselskap, Statnett og kraftleverandører</w:t>
            </w:r>
          </w:p>
        </w:tc>
      </w:tr>
      <w:tr w:rsidR="001A62B2" w:rsidRPr="00D35DF0" w14:paraId="0FF55838" w14:textId="77777777" w:rsidTr="007B1F37">
        <w:tc>
          <w:tcPr>
            <w:tcW w:w="2689" w:type="dxa"/>
          </w:tcPr>
          <w:p w14:paraId="0FF55836" w14:textId="77777777" w:rsidR="001A62B2" w:rsidRPr="001E62C9" w:rsidRDefault="001A62B2" w:rsidP="001A62B2">
            <w:pPr>
              <w:pStyle w:val="Brdtekst"/>
              <w:spacing w:after="0"/>
              <w:rPr>
                <w:i/>
              </w:rPr>
            </w:pPr>
            <w:r w:rsidRPr="001E62C9">
              <w:rPr>
                <w:i/>
              </w:rPr>
              <w:t>Tilsynsmetoder</w:t>
            </w:r>
          </w:p>
        </w:tc>
        <w:tc>
          <w:tcPr>
            <w:tcW w:w="6662" w:type="dxa"/>
          </w:tcPr>
          <w:p w14:paraId="0FF55837" w14:textId="2C4A9E08" w:rsidR="001A62B2" w:rsidRPr="001E62C9" w:rsidRDefault="001A62B2" w:rsidP="00D91F18">
            <w:pPr>
              <w:pStyle w:val="Brdtekst"/>
              <w:rPr>
                <w:rFonts w:cs="Times New Roman"/>
                <w:szCs w:val="20"/>
                <w:highlight w:val="green"/>
              </w:rPr>
            </w:pPr>
            <w:r w:rsidRPr="006856C7">
              <w:t xml:space="preserve">Revisjon, </w:t>
            </w:r>
            <w:r w:rsidR="00D91F18">
              <w:t>s</w:t>
            </w:r>
            <w:r w:rsidRPr="006856C7">
              <w:t xml:space="preserve">pørreundersøkelse, </w:t>
            </w:r>
            <w:r w:rsidR="00D91F18">
              <w:t>k</w:t>
            </w:r>
            <w:r w:rsidRPr="006856C7">
              <w:t>ontroll</w:t>
            </w:r>
          </w:p>
        </w:tc>
      </w:tr>
    </w:tbl>
    <w:p w14:paraId="0FF55839" w14:textId="77777777" w:rsidR="004E4A79" w:rsidRDefault="004E4A79"/>
    <w:p w14:paraId="31263536" w14:textId="77777777" w:rsidR="007B1F37" w:rsidRDefault="007B1F37"/>
    <w:p w14:paraId="66BCD8F1" w14:textId="77777777" w:rsidR="00976300" w:rsidRDefault="00976300"/>
    <w:p w14:paraId="18871E2C" w14:textId="77777777" w:rsidR="003D37C7" w:rsidRDefault="003D37C7"/>
    <w:tbl>
      <w:tblPr>
        <w:tblStyle w:val="Tabellrutenett"/>
        <w:tblW w:w="9351" w:type="dxa"/>
        <w:tblLook w:val="04A0" w:firstRow="1" w:lastRow="0" w:firstColumn="1" w:lastColumn="0" w:noHBand="0" w:noVBand="1"/>
      </w:tblPr>
      <w:tblGrid>
        <w:gridCol w:w="2689"/>
        <w:gridCol w:w="6662"/>
      </w:tblGrid>
      <w:tr w:rsidR="00746468" w14:paraId="0FF55861" w14:textId="77777777" w:rsidTr="007B1F37">
        <w:tc>
          <w:tcPr>
            <w:tcW w:w="2689" w:type="dxa"/>
            <w:shd w:val="clear" w:color="auto" w:fill="0D0D0D" w:themeFill="text1" w:themeFillTint="F2"/>
          </w:tcPr>
          <w:p w14:paraId="0FF5585D" w14:textId="77777777" w:rsidR="00746468" w:rsidRPr="006403E0" w:rsidRDefault="00746468" w:rsidP="002876BE">
            <w:pPr>
              <w:pStyle w:val="Brdtekst"/>
              <w:spacing w:after="0"/>
              <w:rPr>
                <w:color w:val="FFFFFF" w:themeColor="background1"/>
              </w:rPr>
            </w:pPr>
            <w:r>
              <w:lastRenderedPageBreak/>
              <w:br w:type="page"/>
            </w:r>
            <w:r w:rsidR="006403E0" w:rsidRPr="006403E0">
              <w:rPr>
                <w:color w:val="FFFFFF" w:themeColor="background1"/>
              </w:rPr>
              <w:t>Tariff</w:t>
            </w:r>
            <w:r w:rsidR="002876BE">
              <w:rPr>
                <w:color w:val="FFFFFF" w:themeColor="background1"/>
              </w:rPr>
              <w:t>ering/nettleie, anleggsbidrag</w:t>
            </w:r>
          </w:p>
        </w:tc>
        <w:tc>
          <w:tcPr>
            <w:tcW w:w="6662" w:type="dxa"/>
            <w:shd w:val="clear" w:color="auto" w:fill="0D0D0D" w:themeFill="text1" w:themeFillTint="F2"/>
          </w:tcPr>
          <w:p w14:paraId="0FF5585E" w14:textId="0BA8A9AD"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5F" w14:textId="77777777" w:rsidR="00746468"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60" w14:textId="77777777" w:rsidR="004B3795" w:rsidRPr="00EE329D" w:rsidRDefault="004B3795" w:rsidP="006403E0">
            <w:pPr>
              <w:pStyle w:val="Brdtekst"/>
              <w:spacing w:after="0"/>
              <w:rPr>
                <w:color w:val="FFFFFF" w:themeColor="background1"/>
              </w:rPr>
            </w:pPr>
          </w:p>
        </w:tc>
      </w:tr>
      <w:tr w:rsidR="00746468" w14:paraId="0FF55864" w14:textId="77777777" w:rsidTr="007B1F37">
        <w:tc>
          <w:tcPr>
            <w:tcW w:w="2689" w:type="dxa"/>
          </w:tcPr>
          <w:p w14:paraId="0FF55862" w14:textId="77777777" w:rsidR="00746468" w:rsidRPr="00042E9C" w:rsidRDefault="00746468" w:rsidP="00EC7F07">
            <w:pPr>
              <w:pStyle w:val="Brdtekst"/>
              <w:spacing w:after="0"/>
              <w:rPr>
                <w:i/>
              </w:rPr>
            </w:pPr>
            <w:r w:rsidRPr="00042E9C">
              <w:rPr>
                <w:i/>
              </w:rPr>
              <w:t>Tema</w:t>
            </w:r>
          </w:p>
        </w:tc>
        <w:tc>
          <w:tcPr>
            <w:tcW w:w="6662" w:type="dxa"/>
          </w:tcPr>
          <w:p w14:paraId="46ED689D" w14:textId="77777777" w:rsidR="00042E9C" w:rsidRPr="00042E9C" w:rsidRDefault="00042E9C" w:rsidP="00042E9C">
            <w:pPr>
              <w:pStyle w:val="Brdtekst"/>
            </w:pPr>
            <w:r w:rsidRPr="00042E9C">
              <w:rPr>
                <w:i/>
              </w:rPr>
              <w:t>Skriftlige rutiner for anleggsbidrag</w:t>
            </w:r>
            <w:r w:rsidRPr="00042E9C">
              <w:t xml:space="preserve">: Kontrollere at nettselskapene har skriftlige rutiner og at disse følges opp i praksis. </w:t>
            </w:r>
          </w:p>
          <w:p w14:paraId="1CD3395C" w14:textId="77777777" w:rsidR="00042E9C" w:rsidRPr="00042E9C" w:rsidRDefault="00042E9C" w:rsidP="00042E9C">
            <w:pPr>
              <w:pStyle w:val="Brdtekst"/>
            </w:pPr>
            <w:r w:rsidRPr="00042E9C">
              <w:rPr>
                <w:i/>
              </w:rPr>
              <w:t>Informasjon og beregning av anleggsbidrag</w:t>
            </w:r>
            <w:r w:rsidRPr="00042E9C">
              <w:t>: Gis det tilstrekkelig informasjon til kunde og er beregningen i henhold til regelverk</w:t>
            </w:r>
          </w:p>
          <w:p w14:paraId="0FF55863" w14:textId="1300214A" w:rsidR="00746468" w:rsidRPr="00042E9C" w:rsidRDefault="00042E9C" w:rsidP="00042E9C">
            <w:pPr>
              <w:pStyle w:val="Brdtekst"/>
              <w:rPr>
                <w:rFonts w:cs="Times New Roman"/>
                <w:szCs w:val="20"/>
              </w:rPr>
            </w:pPr>
            <w:r w:rsidRPr="00042E9C">
              <w:rPr>
                <w:i/>
              </w:rPr>
              <w:t>Tariffering</w:t>
            </w:r>
            <w:r>
              <w:rPr>
                <w:i/>
              </w:rPr>
              <w:t xml:space="preserve"> av innmating og uttak</w:t>
            </w:r>
            <w:r w:rsidRPr="00042E9C">
              <w:rPr>
                <w:i/>
              </w:rPr>
              <w:t xml:space="preserve">: </w:t>
            </w:r>
            <w:r w:rsidRPr="00042E9C">
              <w:t>Utforming av tariffene, informasjon og om krav til måling etterleves.</w:t>
            </w:r>
          </w:p>
        </w:tc>
      </w:tr>
      <w:tr w:rsidR="00746468" w14:paraId="0FF5586A" w14:textId="77777777" w:rsidTr="007B1F37">
        <w:tc>
          <w:tcPr>
            <w:tcW w:w="2689" w:type="dxa"/>
          </w:tcPr>
          <w:p w14:paraId="0FF55868" w14:textId="77777777" w:rsidR="00746468" w:rsidRPr="00042E9C" w:rsidRDefault="00746468" w:rsidP="00EC7F07">
            <w:pPr>
              <w:pStyle w:val="Brdtekst"/>
              <w:spacing w:after="0"/>
              <w:rPr>
                <w:i/>
              </w:rPr>
            </w:pPr>
            <w:r w:rsidRPr="00042E9C">
              <w:rPr>
                <w:i/>
              </w:rPr>
              <w:t>Tilsynsobjekter</w:t>
            </w:r>
          </w:p>
        </w:tc>
        <w:tc>
          <w:tcPr>
            <w:tcW w:w="6662" w:type="dxa"/>
          </w:tcPr>
          <w:p w14:paraId="0FF55869" w14:textId="400F069F" w:rsidR="00746468" w:rsidRPr="00042E9C" w:rsidRDefault="00042E9C" w:rsidP="00EC7F07">
            <w:pPr>
              <w:pStyle w:val="Brdtekst"/>
              <w:rPr>
                <w:rFonts w:cs="Times New Roman"/>
                <w:szCs w:val="20"/>
              </w:rPr>
            </w:pPr>
            <w:r w:rsidRPr="00042E9C">
              <w:t>Samtlige omsetningskonsesjonærer med inntektsramme</w:t>
            </w:r>
          </w:p>
        </w:tc>
      </w:tr>
      <w:tr w:rsidR="00746468" w14:paraId="0FF5586D" w14:textId="77777777" w:rsidTr="007B1F37">
        <w:tc>
          <w:tcPr>
            <w:tcW w:w="2689" w:type="dxa"/>
          </w:tcPr>
          <w:p w14:paraId="0FF5586B" w14:textId="77777777" w:rsidR="00746468" w:rsidRPr="00042E9C" w:rsidRDefault="00746468" w:rsidP="00EC7F07">
            <w:pPr>
              <w:pStyle w:val="Brdtekst"/>
              <w:spacing w:after="0"/>
              <w:rPr>
                <w:i/>
              </w:rPr>
            </w:pPr>
            <w:r w:rsidRPr="00042E9C">
              <w:rPr>
                <w:i/>
              </w:rPr>
              <w:t>Tilsynsmetoder</w:t>
            </w:r>
          </w:p>
        </w:tc>
        <w:tc>
          <w:tcPr>
            <w:tcW w:w="6662" w:type="dxa"/>
          </w:tcPr>
          <w:p w14:paraId="0FF5586C" w14:textId="77777777" w:rsidR="00746468" w:rsidRPr="00042E9C" w:rsidRDefault="00746468" w:rsidP="00EC7F07">
            <w:pPr>
              <w:pStyle w:val="Brdtekst"/>
              <w:rPr>
                <w:rFonts w:cs="Times New Roman"/>
                <w:szCs w:val="20"/>
              </w:rPr>
            </w:pPr>
            <w:r w:rsidRPr="00042E9C">
              <w:rPr>
                <w:rFonts w:cs="Times New Roman"/>
                <w:szCs w:val="20"/>
              </w:rPr>
              <w:t>Revisjon, skriftlig kontroll</w:t>
            </w:r>
          </w:p>
        </w:tc>
      </w:tr>
    </w:tbl>
    <w:p w14:paraId="0FF5586E" w14:textId="77777777" w:rsidR="0002602C" w:rsidRDefault="0002602C"/>
    <w:tbl>
      <w:tblPr>
        <w:tblStyle w:val="Tabellrutenett"/>
        <w:tblW w:w="9351" w:type="dxa"/>
        <w:tblLook w:val="04A0" w:firstRow="1" w:lastRow="0" w:firstColumn="1" w:lastColumn="0" w:noHBand="0" w:noVBand="1"/>
      </w:tblPr>
      <w:tblGrid>
        <w:gridCol w:w="2689"/>
        <w:gridCol w:w="6662"/>
      </w:tblGrid>
      <w:tr w:rsidR="006403E0" w14:paraId="0FF55873" w14:textId="77777777" w:rsidTr="007B1F37">
        <w:tc>
          <w:tcPr>
            <w:tcW w:w="2689" w:type="dxa"/>
            <w:shd w:val="clear" w:color="auto" w:fill="0D0D0D" w:themeFill="text1" w:themeFillTint="F2"/>
          </w:tcPr>
          <w:p w14:paraId="0FF5586F" w14:textId="77777777" w:rsidR="006403E0" w:rsidRPr="006403E0" w:rsidRDefault="006403E0" w:rsidP="006403E0">
            <w:pPr>
              <w:pStyle w:val="Brdtekst"/>
              <w:spacing w:after="0"/>
              <w:rPr>
                <w:color w:val="FFFFFF" w:themeColor="background1"/>
              </w:rPr>
            </w:pPr>
            <w:r w:rsidRPr="006403E0">
              <w:rPr>
                <w:color w:val="FFFFFF" w:themeColor="background1"/>
              </w:rPr>
              <w:t>Økonomisk og teknisk rapportering</w:t>
            </w:r>
          </w:p>
        </w:tc>
        <w:tc>
          <w:tcPr>
            <w:tcW w:w="6662" w:type="dxa"/>
            <w:shd w:val="clear" w:color="auto" w:fill="0D0D0D" w:themeFill="text1" w:themeFillTint="F2"/>
          </w:tcPr>
          <w:p w14:paraId="0FF55870" w14:textId="77A2CC5B"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71"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økonomisk regulering</w:t>
            </w:r>
          </w:p>
          <w:p w14:paraId="0FF55872" w14:textId="77777777" w:rsidR="004B3795" w:rsidRPr="00EE329D" w:rsidRDefault="004B3795" w:rsidP="006403E0">
            <w:pPr>
              <w:pStyle w:val="Brdtekst"/>
              <w:spacing w:after="0"/>
              <w:rPr>
                <w:color w:val="FFFFFF" w:themeColor="background1"/>
              </w:rPr>
            </w:pPr>
          </w:p>
        </w:tc>
      </w:tr>
      <w:tr w:rsidR="006403E0" w14:paraId="0FF55876" w14:textId="77777777" w:rsidTr="00736A73">
        <w:tc>
          <w:tcPr>
            <w:tcW w:w="2689" w:type="dxa"/>
            <w:shd w:val="clear" w:color="auto" w:fill="auto"/>
          </w:tcPr>
          <w:p w14:paraId="0FF55874" w14:textId="77777777" w:rsidR="006403E0" w:rsidRPr="00EE329D" w:rsidRDefault="006403E0" w:rsidP="006403E0">
            <w:pPr>
              <w:pStyle w:val="Brdtekst"/>
              <w:spacing w:after="0"/>
              <w:rPr>
                <w:i/>
              </w:rPr>
            </w:pPr>
            <w:r w:rsidRPr="00736A73">
              <w:rPr>
                <w:i/>
              </w:rPr>
              <w:t>Tema</w:t>
            </w:r>
          </w:p>
        </w:tc>
        <w:tc>
          <w:tcPr>
            <w:tcW w:w="6662" w:type="dxa"/>
          </w:tcPr>
          <w:p w14:paraId="0FF55875" w14:textId="5B0413E5" w:rsidR="006403E0" w:rsidRPr="002B2D2D" w:rsidRDefault="00C7541B" w:rsidP="00C7541B">
            <w:pPr>
              <w:pStyle w:val="Brdtekst"/>
              <w:rPr>
                <w:rFonts w:cs="Times New Roman"/>
                <w:szCs w:val="20"/>
              </w:rPr>
            </w:pPr>
            <w:r>
              <w:t>R</w:t>
            </w:r>
            <w:r w:rsidR="00736A73" w:rsidRPr="002B2D2D">
              <w:t>apportering i eRapp og TEK overholdes. Kvalitetssikring av verdier rapportert i eRapp og TEK for 2016 for nettselskaper, med fokus på konserntransaksjoner og intern resursfordeling</w:t>
            </w:r>
            <w:r>
              <w:t>.</w:t>
            </w:r>
          </w:p>
        </w:tc>
      </w:tr>
      <w:tr w:rsidR="006403E0" w14:paraId="0FF5587C" w14:textId="77777777" w:rsidTr="007B1F37">
        <w:tc>
          <w:tcPr>
            <w:tcW w:w="2689" w:type="dxa"/>
          </w:tcPr>
          <w:p w14:paraId="0FF5587A" w14:textId="77777777" w:rsidR="006403E0" w:rsidRPr="00EE329D" w:rsidRDefault="006403E0" w:rsidP="006403E0">
            <w:pPr>
              <w:pStyle w:val="Brdtekst"/>
              <w:spacing w:after="0"/>
              <w:rPr>
                <w:i/>
              </w:rPr>
            </w:pPr>
            <w:r w:rsidRPr="00EE329D">
              <w:rPr>
                <w:i/>
              </w:rPr>
              <w:t>Tilsynsobjekter</w:t>
            </w:r>
          </w:p>
        </w:tc>
        <w:tc>
          <w:tcPr>
            <w:tcW w:w="6662" w:type="dxa"/>
          </w:tcPr>
          <w:p w14:paraId="0FF5587B" w14:textId="4FEC1D10" w:rsidR="00736A73" w:rsidRPr="002B2D2D" w:rsidRDefault="00736A73" w:rsidP="00736A73">
            <w:pPr>
              <w:pStyle w:val="Brdtekst"/>
              <w:rPr>
                <w:rFonts w:cs="Times New Roman"/>
                <w:szCs w:val="20"/>
              </w:rPr>
            </w:pPr>
            <w:r w:rsidRPr="002B2D2D">
              <w:t>Samtlige omsetningskonsesjonærer med rapporteringsplikt, og nettselskaper med relativ høy aktivitet av konserntransaksjoner eller intern ressursfordeling, økonomiske størrelse, betydning i sammenlignende analyser, erfaring fra kontroll ved innleving av eRapp, og som ikke har hatt tilsyn de siste årene.</w:t>
            </w:r>
          </w:p>
        </w:tc>
      </w:tr>
      <w:tr w:rsidR="006403E0" w14:paraId="0FF5587F" w14:textId="77777777" w:rsidTr="007B1F37">
        <w:tc>
          <w:tcPr>
            <w:tcW w:w="2689" w:type="dxa"/>
          </w:tcPr>
          <w:p w14:paraId="0FF5587D" w14:textId="77777777" w:rsidR="006403E0" w:rsidRPr="00EE329D" w:rsidRDefault="006403E0" w:rsidP="006403E0">
            <w:pPr>
              <w:pStyle w:val="Brdtekst"/>
              <w:spacing w:after="0"/>
              <w:rPr>
                <w:i/>
              </w:rPr>
            </w:pPr>
            <w:r w:rsidRPr="00EE329D">
              <w:rPr>
                <w:i/>
              </w:rPr>
              <w:t>Tilsynsmetoder</w:t>
            </w:r>
          </w:p>
        </w:tc>
        <w:tc>
          <w:tcPr>
            <w:tcW w:w="6662" w:type="dxa"/>
          </w:tcPr>
          <w:p w14:paraId="0FF5587E" w14:textId="23B3358E" w:rsidR="006403E0" w:rsidRPr="002B2D2D" w:rsidRDefault="00736A73" w:rsidP="006403E0">
            <w:pPr>
              <w:pStyle w:val="Brdtekst"/>
              <w:rPr>
                <w:rFonts w:cs="Times New Roman"/>
                <w:szCs w:val="20"/>
              </w:rPr>
            </w:pPr>
            <w:r w:rsidRPr="002B2D2D">
              <w:t>Innrapportering, skriftlig kontroll og revisjon med stedlig kontroll.</w:t>
            </w:r>
          </w:p>
        </w:tc>
      </w:tr>
    </w:tbl>
    <w:p w14:paraId="0FF55880"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14:paraId="0FF55885" w14:textId="77777777" w:rsidTr="007B1F37">
        <w:tc>
          <w:tcPr>
            <w:tcW w:w="2689" w:type="dxa"/>
            <w:shd w:val="clear" w:color="auto" w:fill="0D0D0D" w:themeFill="text1" w:themeFillTint="F2"/>
          </w:tcPr>
          <w:p w14:paraId="0FF55881" w14:textId="77777777" w:rsidR="006403E0" w:rsidRPr="00791308" w:rsidRDefault="006403E0" w:rsidP="006403E0">
            <w:pPr>
              <w:pStyle w:val="Brdtekst"/>
              <w:spacing w:after="0"/>
              <w:rPr>
                <w:color w:val="FFFFFF" w:themeColor="background1"/>
              </w:rPr>
            </w:pPr>
            <w:r w:rsidRPr="00791308">
              <w:rPr>
                <w:color w:val="FFFFFF" w:themeColor="background1"/>
              </w:rPr>
              <w:t>Systemansvaret</w:t>
            </w:r>
          </w:p>
        </w:tc>
        <w:tc>
          <w:tcPr>
            <w:tcW w:w="6662" w:type="dxa"/>
            <w:shd w:val="clear" w:color="auto" w:fill="0D0D0D" w:themeFill="text1" w:themeFillTint="F2"/>
          </w:tcPr>
          <w:p w14:paraId="0FF55882" w14:textId="3930D86F"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83"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regulering av nettjenester</w:t>
            </w:r>
          </w:p>
          <w:p w14:paraId="0FF55884" w14:textId="77777777" w:rsidR="004B3795" w:rsidRPr="00EE329D" w:rsidRDefault="004B3795" w:rsidP="006403E0">
            <w:pPr>
              <w:pStyle w:val="Brdtekst"/>
              <w:spacing w:after="0"/>
              <w:rPr>
                <w:color w:val="FFFFFF" w:themeColor="background1"/>
              </w:rPr>
            </w:pPr>
          </w:p>
        </w:tc>
      </w:tr>
      <w:tr w:rsidR="006403E0" w14:paraId="0FF55888" w14:textId="77777777" w:rsidTr="007B1F37">
        <w:tc>
          <w:tcPr>
            <w:tcW w:w="2689" w:type="dxa"/>
          </w:tcPr>
          <w:p w14:paraId="0FF55886" w14:textId="77777777" w:rsidR="006403E0" w:rsidRPr="00042E9C" w:rsidRDefault="006403E0" w:rsidP="006403E0">
            <w:pPr>
              <w:pStyle w:val="Brdtekst"/>
              <w:spacing w:after="0"/>
              <w:rPr>
                <w:i/>
              </w:rPr>
            </w:pPr>
            <w:r w:rsidRPr="00042E9C">
              <w:rPr>
                <w:i/>
              </w:rPr>
              <w:t>Tema</w:t>
            </w:r>
          </w:p>
        </w:tc>
        <w:tc>
          <w:tcPr>
            <w:tcW w:w="6662" w:type="dxa"/>
          </w:tcPr>
          <w:p w14:paraId="0FF55887" w14:textId="77777777" w:rsidR="006403E0" w:rsidRPr="00042E9C" w:rsidRDefault="006403E0" w:rsidP="006403E0">
            <w:pPr>
              <w:pStyle w:val="Brdtekst"/>
              <w:rPr>
                <w:rFonts w:cs="Times New Roman"/>
                <w:szCs w:val="20"/>
              </w:rPr>
            </w:pPr>
            <w:r w:rsidRPr="00042E9C">
              <w:rPr>
                <w:rFonts w:cs="Times New Roman"/>
                <w:szCs w:val="20"/>
              </w:rPr>
              <w:t>Følge opp avdekkete forhold, og gjennom oppfølgingsmøter fokusere på spesifikke tema.</w:t>
            </w:r>
          </w:p>
        </w:tc>
      </w:tr>
      <w:tr w:rsidR="006403E0" w14:paraId="0FF5588E" w14:textId="77777777" w:rsidTr="007B1F37">
        <w:tc>
          <w:tcPr>
            <w:tcW w:w="2689" w:type="dxa"/>
          </w:tcPr>
          <w:p w14:paraId="0FF5588C" w14:textId="77777777" w:rsidR="006403E0" w:rsidRPr="00042E9C" w:rsidRDefault="006403E0" w:rsidP="006403E0">
            <w:pPr>
              <w:pStyle w:val="Brdtekst"/>
              <w:spacing w:after="0"/>
              <w:rPr>
                <w:i/>
              </w:rPr>
            </w:pPr>
            <w:r w:rsidRPr="00042E9C">
              <w:rPr>
                <w:i/>
              </w:rPr>
              <w:t>Tilsynsobjekter</w:t>
            </w:r>
          </w:p>
        </w:tc>
        <w:tc>
          <w:tcPr>
            <w:tcW w:w="6662" w:type="dxa"/>
          </w:tcPr>
          <w:p w14:paraId="0FF5588D" w14:textId="77777777" w:rsidR="006403E0" w:rsidRPr="00042E9C" w:rsidRDefault="006403E0" w:rsidP="006403E0">
            <w:pPr>
              <w:pStyle w:val="Brdtekst"/>
              <w:rPr>
                <w:rFonts w:cs="Times New Roman"/>
                <w:szCs w:val="20"/>
              </w:rPr>
            </w:pPr>
            <w:r w:rsidRPr="00042E9C">
              <w:rPr>
                <w:rFonts w:cs="Times New Roman"/>
                <w:szCs w:val="20"/>
              </w:rPr>
              <w:t>Statnett SF</w:t>
            </w:r>
          </w:p>
        </w:tc>
      </w:tr>
      <w:tr w:rsidR="006403E0" w14:paraId="0FF55891" w14:textId="77777777" w:rsidTr="007B1F37">
        <w:tc>
          <w:tcPr>
            <w:tcW w:w="2689" w:type="dxa"/>
          </w:tcPr>
          <w:p w14:paraId="0FF5588F" w14:textId="77777777" w:rsidR="006403E0" w:rsidRPr="00042E9C" w:rsidRDefault="006403E0" w:rsidP="006403E0">
            <w:pPr>
              <w:pStyle w:val="Brdtekst"/>
              <w:spacing w:after="0"/>
              <w:rPr>
                <w:i/>
              </w:rPr>
            </w:pPr>
            <w:r w:rsidRPr="00042E9C">
              <w:rPr>
                <w:i/>
              </w:rPr>
              <w:t>Tilsynsmetoder</w:t>
            </w:r>
          </w:p>
        </w:tc>
        <w:tc>
          <w:tcPr>
            <w:tcW w:w="6662" w:type="dxa"/>
          </w:tcPr>
          <w:p w14:paraId="0FF55890" w14:textId="77777777" w:rsidR="006403E0" w:rsidRPr="00042E9C" w:rsidRDefault="00417C4A" w:rsidP="006403E0">
            <w:pPr>
              <w:pStyle w:val="Brdtekst"/>
              <w:rPr>
                <w:rFonts w:cs="Times New Roman"/>
                <w:szCs w:val="20"/>
              </w:rPr>
            </w:pPr>
            <w:r w:rsidRPr="00042E9C">
              <w:rPr>
                <w:rFonts w:cs="Times New Roman"/>
                <w:szCs w:val="20"/>
              </w:rPr>
              <w:t>Løpende oppfølging, oppfølgingsmøter</w:t>
            </w:r>
          </w:p>
        </w:tc>
      </w:tr>
    </w:tbl>
    <w:p w14:paraId="0FF55893" w14:textId="3E33D6BC" w:rsidR="00B66C37" w:rsidRDefault="00B66C37"/>
    <w:tbl>
      <w:tblPr>
        <w:tblStyle w:val="Tabellrutenett"/>
        <w:tblW w:w="9351" w:type="dxa"/>
        <w:tblLook w:val="04A0" w:firstRow="1" w:lastRow="0" w:firstColumn="1" w:lastColumn="0" w:noHBand="0" w:noVBand="1"/>
      </w:tblPr>
      <w:tblGrid>
        <w:gridCol w:w="2689"/>
        <w:gridCol w:w="6662"/>
      </w:tblGrid>
      <w:tr w:rsidR="006403E0" w14:paraId="0FF558AA" w14:textId="77777777" w:rsidTr="007B1F37">
        <w:tc>
          <w:tcPr>
            <w:tcW w:w="2689" w:type="dxa"/>
            <w:shd w:val="clear" w:color="auto" w:fill="0D0D0D" w:themeFill="text1" w:themeFillTint="F2"/>
          </w:tcPr>
          <w:p w14:paraId="0FF558A6" w14:textId="77777777" w:rsidR="006403E0" w:rsidRPr="006403E0" w:rsidRDefault="006403E0" w:rsidP="006403E0">
            <w:pPr>
              <w:pStyle w:val="Brdtekst"/>
              <w:spacing w:after="0"/>
              <w:rPr>
                <w:color w:val="FFFFFF" w:themeColor="background1"/>
              </w:rPr>
            </w:pPr>
            <w:r w:rsidRPr="006403E0">
              <w:rPr>
                <w:color w:val="FFFFFF" w:themeColor="background1"/>
              </w:rPr>
              <w:t>Leveringskvalitet og feilanalyse</w:t>
            </w:r>
          </w:p>
        </w:tc>
        <w:tc>
          <w:tcPr>
            <w:tcW w:w="6662" w:type="dxa"/>
            <w:shd w:val="clear" w:color="auto" w:fill="0D0D0D" w:themeFill="text1" w:themeFillTint="F2"/>
          </w:tcPr>
          <w:p w14:paraId="0FF558A7" w14:textId="086FD7BE"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A8"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nettjenester</w:t>
            </w:r>
          </w:p>
          <w:p w14:paraId="0FF558A9" w14:textId="77777777" w:rsidR="006403E0" w:rsidRPr="00EE329D" w:rsidRDefault="006403E0" w:rsidP="006403E0">
            <w:pPr>
              <w:pStyle w:val="Brdtekst"/>
              <w:spacing w:after="0"/>
              <w:rPr>
                <w:color w:val="FFFFFF" w:themeColor="background1"/>
              </w:rPr>
            </w:pPr>
          </w:p>
        </w:tc>
      </w:tr>
      <w:tr w:rsidR="006403E0" w14:paraId="0FF558AD" w14:textId="77777777" w:rsidTr="007B1F37">
        <w:tc>
          <w:tcPr>
            <w:tcW w:w="2689" w:type="dxa"/>
          </w:tcPr>
          <w:p w14:paraId="0FF558AB" w14:textId="77777777" w:rsidR="006403E0" w:rsidRPr="002E7CD4" w:rsidRDefault="006403E0" w:rsidP="006403E0">
            <w:pPr>
              <w:pStyle w:val="Brdtekst"/>
              <w:spacing w:after="0"/>
              <w:rPr>
                <w:i/>
              </w:rPr>
            </w:pPr>
            <w:r w:rsidRPr="002E7CD4">
              <w:rPr>
                <w:i/>
              </w:rPr>
              <w:t>Tema</w:t>
            </w:r>
          </w:p>
        </w:tc>
        <w:tc>
          <w:tcPr>
            <w:tcW w:w="6662" w:type="dxa"/>
          </w:tcPr>
          <w:p w14:paraId="5EDBDAAE" w14:textId="77777777" w:rsidR="000D012D" w:rsidRPr="002E7CD4" w:rsidRDefault="000D012D" w:rsidP="000D012D">
            <w:pPr>
              <w:pStyle w:val="Brdtekst"/>
            </w:pPr>
            <w:r w:rsidRPr="002E7CD4">
              <w:t>Innleveringskontroll: Kontroll av at rapportering i Fasit og Spenningskvalitet innleveres. Brudd på rapporteringsplikt og feil rapportering gir risiko for feil i statistikk</w:t>
            </w:r>
          </w:p>
          <w:p w14:paraId="0FF558AC" w14:textId="33D0BAC7" w:rsidR="006403E0" w:rsidRPr="002E7CD4" w:rsidRDefault="000D012D" w:rsidP="000D012D">
            <w:pPr>
              <w:pStyle w:val="Brdtekst"/>
              <w:rPr>
                <w:rFonts w:cs="Times New Roman"/>
                <w:szCs w:val="20"/>
              </w:rPr>
            </w:pPr>
            <w:r w:rsidRPr="002E7CD4">
              <w:t>Revisjon: Kontroll av selskapenes rutiner for registrering og rapportering av avbrudd og spenningskvalitet. Kontroll av selskapenes rutiner for og håndtering av misnøye med leveringskvalitet.</w:t>
            </w:r>
          </w:p>
        </w:tc>
      </w:tr>
      <w:tr w:rsidR="006403E0" w14:paraId="0FF558B3" w14:textId="77777777" w:rsidTr="007B1F37">
        <w:tc>
          <w:tcPr>
            <w:tcW w:w="2689" w:type="dxa"/>
          </w:tcPr>
          <w:p w14:paraId="0FF558B1" w14:textId="77777777" w:rsidR="006403E0" w:rsidRPr="002E7CD4" w:rsidRDefault="006403E0" w:rsidP="006403E0">
            <w:pPr>
              <w:pStyle w:val="Brdtekst"/>
              <w:spacing w:after="0"/>
              <w:rPr>
                <w:i/>
              </w:rPr>
            </w:pPr>
            <w:r w:rsidRPr="002E7CD4">
              <w:rPr>
                <w:i/>
              </w:rPr>
              <w:lastRenderedPageBreak/>
              <w:t>Tilsynsobjekter</w:t>
            </w:r>
          </w:p>
        </w:tc>
        <w:tc>
          <w:tcPr>
            <w:tcW w:w="6662" w:type="dxa"/>
          </w:tcPr>
          <w:p w14:paraId="1D23BB2E" w14:textId="77777777" w:rsidR="000D012D" w:rsidRPr="002E7CD4" w:rsidRDefault="000D012D" w:rsidP="000D012D">
            <w:pPr>
              <w:pStyle w:val="Brdtekst"/>
              <w:rPr>
                <w:rFonts w:cs="Times New Roman"/>
                <w:szCs w:val="20"/>
              </w:rPr>
            </w:pPr>
            <w:r w:rsidRPr="002E7CD4">
              <w:rPr>
                <w:rFonts w:cs="Times New Roman"/>
                <w:szCs w:val="20"/>
              </w:rPr>
              <w:t>Selskap som er rapporteringspliktig etter forskrift om leveringskvalitet i kraftsystemet</w:t>
            </w:r>
            <w:r w:rsidR="006403E0" w:rsidRPr="002E7CD4">
              <w:rPr>
                <w:rFonts w:cs="Times New Roman"/>
                <w:szCs w:val="20"/>
              </w:rPr>
              <w:t>.</w:t>
            </w:r>
            <w:r w:rsidRPr="002E7CD4">
              <w:rPr>
                <w:rFonts w:cs="Times New Roman"/>
                <w:szCs w:val="20"/>
              </w:rPr>
              <w:t xml:space="preserve"> </w:t>
            </w:r>
          </w:p>
          <w:p w14:paraId="0FF558B2" w14:textId="1DC12728" w:rsidR="006403E0" w:rsidRPr="002E7CD4" w:rsidRDefault="002E7CD4" w:rsidP="002E7CD4">
            <w:pPr>
              <w:pStyle w:val="Brdtekst"/>
              <w:rPr>
                <w:rFonts w:cs="Times New Roman"/>
                <w:szCs w:val="20"/>
              </w:rPr>
            </w:pPr>
            <w:r w:rsidRPr="002E7CD4">
              <w:rPr>
                <w:rFonts w:cs="Times New Roman"/>
                <w:szCs w:val="20"/>
              </w:rPr>
              <w:t>Særlig fokus på s</w:t>
            </w:r>
            <w:r w:rsidR="006403E0" w:rsidRPr="002E7CD4">
              <w:rPr>
                <w:rFonts w:cs="Times New Roman"/>
                <w:szCs w:val="20"/>
              </w:rPr>
              <w:t>elskap som NVE har mottatt flere klager på eller som ikke tidligere hatt revisjon innenfor dette temaet.</w:t>
            </w:r>
          </w:p>
        </w:tc>
      </w:tr>
      <w:tr w:rsidR="006403E0" w14:paraId="0FF558B6" w14:textId="77777777" w:rsidTr="007B1F37">
        <w:tc>
          <w:tcPr>
            <w:tcW w:w="2689" w:type="dxa"/>
          </w:tcPr>
          <w:p w14:paraId="0FF558B4" w14:textId="77777777" w:rsidR="006403E0" w:rsidRPr="002E7CD4" w:rsidRDefault="006403E0" w:rsidP="006403E0">
            <w:pPr>
              <w:pStyle w:val="Brdtekst"/>
              <w:spacing w:after="0"/>
              <w:rPr>
                <w:i/>
              </w:rPr>
            </w:pPr>
            <w:r w:rsidRPr="002E7CD4">
              <w:rPr>
                <w:i/>
              </w:rPr>
              <w:t>Tilsynsmetoder</w:t>
            </w:r>
          </w:p>
        </w:tc>
        <w:tc>
          <w:tcPr>
            <w:tcW w:w="6662" w:type="dxa"/>
          </w:tcPr>
          <w:p w14:paraId="0FF558B5" w14:textId="77777777" w:rsidR="006403E0" w:rsidRPr="002E7CD4" w:rsidRDefault="006403E0" w:rsidP="006403E0">
            <w:pPr>
              <w:pStyle w:val="Brdtekst"/>
              <w:rPr>
                <w:rFonts w:cs="Times New Roman"/>
                <w:szCs w:val="20"/>
              </w:rPr>
            </w:pPr>
            <w:r w:rsidRPr="002E7CD4">
              <w:rPr>
                <w:rFonts w:cs="Times New Roman"/>
                <w:szCs w:val="20"/>
              </w:rPr>
              <w:t>Revisjon, skriftlig kontroll</w:t>
            </w:r>
          </w:p>
        </w:tc>
      </w:tr>
    </w:tbl>
    <w:p w14:paraId="0FF558B7"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rsidRPr="00EE329D" w14:paraId="0FF558BC" w14:textId="77777777" w:rsidTr="007B1F37">
        <w:tc>
          <w:tcPr>
            <w:tcW w:w="2689" w:type="dxa"/>
            <w:shd w:val="clear" w:color="auto" w:fill="000000" w:themeFill="text1"/>
          </w:tcPr>
          <w:p w14:paraId="0FF558B8" w14:textId="77777777" w:rsidR="006403E0" w:rsidRPr="006403E0" w:rsidRDefault="006403E0" w:rsidP="006403E0">
            <w:pPr>
              <w:pStyle w:val="Brdtekst"/>
              <w:spacing w:after="0"/>
              <w:rPr>
                <w:color w:val="FFFFFF" w:themeColor="background1"/>
              </w:rPr>
            </w:pPr>
            <w:r w:rsidRPr="006403E0">
              <w:rPr>
                <w:color w:val="FFFFFF" w:themeColor="background1"/>
              </w:rPr>
              <w:t>Utlandshandel</w:t>
            </w:r>
          </w:p>
        </w:tc>
        <w:tc>
          <w:tcPr>
            <w:tcW w:w="6662" w:type="dxa"/>
            <w:shd w:val="clear" w:color="auto" w:fill="000000" w:themeFill="text1"/>
          </w:tcPr>
          <w:p w14:paraId="0FF558B9" w14:textId="3097E621"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BA"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0FF558BB" w14:textId="77777777" w:rsidR="004B3795" w:rsidRPr="00EE329D" w:rsidRDefault="004B3795" w:rsidP="006403E0">
            <w:pPr>
              <w:pStyle w:val="Brdtekst"/>
              <w:spacing w:after="0"/>
              <w:rPr>
                <w:color w:val="FFFFFF" w:themeColor="background1"/>
              </w:rPr>
            </w:pPr>
          </w:p>
        </w:tc>
      </w:tr>
      <w:tr w:rsidR="006403E0" w:rsidRPr="00D35ACD" w14:paraId="0FF558BF" w14:textId="77777777" w:rsidTr="007B1F37">
        <w:tc>
          <w:tcPr>
            <w:tcW w:w="2689" w:type="dxa"/>
          </w:tcPr>
          <w:p w14:paraId="0FF558BD" w14:textId="77777777" w:rsidR="006403E0" w:rsidRPr="00D35ACD" w:rsidRDefault="006403E0" w:rsidP="006403E0">
            <w:pPr>
              <w:pStyle w:val="Brdtekst"/>
              <w:spacing w:after="0"/>
              <w:rPr>
                <w:i/>
              </w:rPr>
            </w:pPr>
            <w:r w:rsidRPr="00D35ACD">
              <w:rPr>
                <w:i/>
              </w:rPr>
              <w:t>Tema</w:t>
            </w:r>
          </w:p>
        </w:tc>
        <w:tc>
          <w:tcPr>
            <w:tcW w:w="6662" w:type="dxa"/>
          </w:tcPr>
          <w:p w14:paraId="0FF558BE" w14:textId="6B06CC3D" w:rsidR="006403E0" w:rsidRPr="00D35ACD" w:rsidRDefault="00D35ACD" w:rsidP="00D35ACD">
            <w:pPr>
              <w:pStyle w:val="Brdtekst"/>
              <w:rPr>
                <w:rFonts w:cs="Times New Roman"/>
                <w:szCs w:val="20"/>
              </w:rPr>
            </w:pPr>
            <w:r w:rsidRPr="00D35ACD">
              <w:rPr>
                <w:rFonts w:cs="Times New Roman"/>
                <w:szCs w:val="20"/>
              </w:rPr>
              <w:t>Fokus på spesifikke tema som tapsfunksjonalitet på DC-forbindelsene, rampingrestriksjoner og generelt i tilrettelegging for handelsløsninger i tråd med Forordning (EF) nr. 1228/2003 om vilkår for adgang til nett for overføring av elektrisk kraft over landegrensene (grensehandelsforordningen). I 2018 vil tilsyn med handelsløsninger på DC-forbindelsene under bygging prioriteres.</w:t>
            </w:r>
          </w:p>
        </w:tc>
      </w:tr>
      <w:tr w:rsidR="006403E0" w:rsidRPr="00D35ACD" w14:paraId="0FF558C5" w14:textId="77777777" w:rsidTr="007B1F37">
        <w:tc>
          <w:tcPr>
            <w:tcW w:w="2689" w:type="dxa"/>
          </w:tcPr>
          <w:p w14:paraId="0FF558C3" w14:textId="77777777" w:rsidR="006403E0" w:rsidRPr="00D35ACD" w:rsidRDefault="006403E0" w:rsidP="006403E0">
            <w:pPr>
              <w:pStyle w:val="Brdtekst"/>
              <w:spacing w:after="0"/>
              <w:rPr>
                <w:i/>
              </w:rPr>
            </w:pPr>
            <w:r w:rsidRPr="00D35ACD">
              <w:rPr>
                <w:i/>
              </w:rPr>
              <w:t>Tilsynsobjekter</w:t>
            </w:r>
          </w:p>
        </w:tc>
        <w:tc>
          <w:tcPr>
            <w:tcW w:w="6662" w:type="dxa"/>
          </w:tcPr>
          <w:p w14:paraId="0FF558C4" w14:textId="77777777" w:rsidR="006403E0" w:rsidRPr="00D35ACD" w:rsidRDefault="006403E0" w:rsidP="006403E0">
            <w:pPr>
              <w:pStyle w:val="Brdtekst"/>
              <w:rPr>
                <w:rFonts w:cs="Times New Roman"/>
                <w:szCs w:val="20"/>
              </w:rPr>
            </w:pPr>
            <w:r w:rsidRPr="00D35ACD">
              <w:rPr>
                <w:rFonts w:cs="Times New Roman"/>
                <w:szCs w:val="20"/>
              </w:rPr>
              <w:t>Statnett SF</w:t>
            </w:r>
          </w:p>
        </w:tc>
      </w:tr>
      <w:tr w:rsidR="006403E0" w:rsidRPr="00D35DF0" w14:paraId="0FF558C8" w14:textId="77777777" w:rsidTr="007B1F37">
        <w:tc>
          <w:tcPr>
            <w:tcW w:w="2689" w:type="dxa"/>
          </w:tcPr>
          <w:p w14:paraId="0FF558C6" w14:textId="77777777" w:rsidR="006403E0" w:rsidRPr="00D35ACD" w:rsidRDefault="006403E0" w:rsidP="006403E0">
            <w:pPr>
              <w:pStyle w:val="Brdtekst"/>
              <w:spacing w:after="0"/>
              <w:rPr>
                <w:i/>
              </w:rPr>
            </w:pPr>
            <w:r w:rsidRPr="00D35ACD">
              <w:rPr>
                <w:i/>
              </w:rPr>
              <w:t>Tilsynsmetoder</w:t>
            </w:r>
          </w:p>
        </w:tc>
        <w:tc>
          <w:tcPr>
            <w:tcW w:w="6662" w:type="dxa"/>
          </w:tcPr>
          <w:p w14:paraId="0FF558C7" w14:textId="77777777" w:rsidR="006403E0" w:rsidRPr="00D35ACD" w:rsidRDefault="006403E0" w:rsidP="006403E0">
            <w:pPr>
              <w:pStyle w:val="Brdtekst"/>
              <w:rPr>
                <w:rFonts w:cs="Times New Roman"/>
                <w:szCs w:val="20"/>
              </w:rPr>
            </w:pPr>
            <w:r w:rsidRPr="00D35ACD">
              <w:rPr>
                <w:rFonts w:cs="Times New Roman"/>
                <w:szCs w:val="20"/>
              </w:rPr>
              <w:t>Revisjon, oppfølgingsmøter med spesifikke tema, kontroll av innsendte handelsdata.</w:t>
            </w:r>
          </w:p>
        </w:tc>
      </w:tr>
    </w:tbl>
    <w:p w14:paraId="0FF558C9" w14:textId="77777777" w:rsidR="006B64D9" w:rsidRDefault="006B64D9"/>
    <w:tbl>
      <w:tblPr>
        <w:tblStyle w:val="Tabellrutenett"/>
        <w:tblW w:w="9351" w:type="dxa"/>
        <w:tblLook w:val="04A0" w:firstRow="1" w:lastRow="0" w:firstColumn="1" w:lastColumn="0" w:noHBand="0" w:noVBand="1"/>
      </w:tblPr>
      <w:tblGrid>
        <w:gridCol w:w="2689"/>
        <w:gridCol w:w="6662"/>
      </w:tblGrid>
      <w:tr w:rsidR="006403E0" w:rsidRPr="00EE329D" w14:paraId="0FF558CE" w14:textId="77777777" w:rsidTr="007B1F37">
        <w:tc>
          <w:tcPr>
            <w:tcW w:w="2689" w:type="dxa"/>
            <w:shd w:val="clear" w:color="auto" w:fill="000000" w:themeFill="text1"/>
          </w:tcPr>
          <w:p w14:paraId="0FF558CA" w14:textId="77777777" w:rsidR="006403E0" w:rsidRPr="006403E0" w:rsidRDefault="006403E0" w:rsidP="006403E0">
            <w:pPr>
              <w:pStyle w:val="Brdtekst"/>
              <w:spacing w:after="0"/>
              <w:rPr>
                <w:color w:val="FFFFFF" w:themeColor="background1"/>
              </w:rPr>
            </w:pPr>
            <w:r w:rsidRPr="006403E0">
              <w:rPr>
                <w:color w:val="FFFFFF" w:themeColor="background1"/>
              </w:rPr>
              <w:t>Markedsplass for omsetning av elektrisk kraft</w:t>
            </w:r>
          </w:p>
        </w:tc>
        <w:tc>
          <w:tcPr>
            <w:tcW w:w="6662" w:type="dxa"/>
            <w:shd w:val="clear" w:color="auto" w:fill="000000" w:themeFill="text1"/>
          </w:tcPr>
          <w:p w14:paraId="0FF558CB" w14:textId="79AED901" w:rsidR="006403E0" w:rsidRPr="00791308" w:rsidRDefault="00C37398" w:rsidP="006403E0">
            <w:pPr>
              <w:pStyle w:val="Brdtekst"/>
              <w:spacing w:after="0"/>
              <w:rPr>
                <w:color w:val="FFFFFF" w:themeColor="background1"/>
              </w:rPr>
            </w:pPr>
            <w:r w:rsidRPr="00C37398">
              <w:rPr>
                <w:color w:val="FFFFFF" w:themeColor="background1"/>
              </w:rPr>
              <w:t xml:space="preserve">Reguleringsmyndigheten for energi </w:t>
            </w:r>
            <w:r w:rsidR="006403E0" w:rsidRPr="00791308">
              <w:rPr>
                <w:color w:val="FFFFFF" w:themeColor="background1"/>
              </w:rPr>
              <w:t>–</w:t>
            </w:r>
          </w:p>
          <w:p w14:paraId="0FF558CC" w14:textId="77777777" w:rsidR="006403E0"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engrosmarked</w:t>
            </w:r>
          </w:p>
          <w:p w14:paraId="0FF558CD" w14:textId="77777777" w:rsidR="004B3795" w:rsidRPr="00EE329D" w:rsidRDefault="004B3795" w:rsidP="006403E0">
            <w:pPr>
              <w:pStyle w:val="Brdtekst"/>
              <w:spacing w:after="0"/>
              <w:rPr>
                <w:color w:val="FFFFFF" w:themeColor="background1"/>
              </w:rPr>
            </w:pPr>
          </w:p>
        </w:tc>
      </w:tr>
      <w:tr w:rsidR="006403E0" w:rsidRPr="006729F7" w14:paraId="0FF558D1" w14:textId="77777777" w:rsidTr="007B1F37">
        <w:tc>
          <w:tcPr>
            <w:tcW w:w="2689" w:type="dxa"/>
          </w:tcPr>
          <w:p w14:paraId="0FF558CF" w14:textId="77777777" w:rsidR="006403E0" w:rsidRPr="006729F7" w:rsidRDefault="006403E0" w:rsidP="006403E0">
            <w:pPr>
              <w:pStyle w:val="Brdtekst"/>
              <w:spacing w:after="0"/>
              <w:rPr>
                <w:i/>
              </w:rPr>
            </w:pPr>
            <w:r w:rsidRPr="006729F7">
              <w:rPr>
                <w:i/>
              </w:rPr>
              <w:t>Tema</w:t>
            </w:r>
          </w:p>
        </w:tc>
        <w:tc>
          <w:tcPr>
            <w:tcW w:w="6662" w:type="dxa"/>
          </w:tcPr>
          <w:p w14:paraId="0FF558D0" w14:textId="2BC8D0F4" w:rsidR="006403E0" w:rsidRPr="006729F7" w:rsidRDefault="006729F7" w:rsidP="006403E0">
            <w:pPr>
              <w:pStyle w:val="Brdtekst"/>
              <w:rPr>
                <w:rFonts w:cs="Times New Roman"/>
                <w:szCs w:val="20"/>
              </w:rPr>
            </w:pPr>
            <w:r w:rsidRPr="006729F7">
              <w:rPr>
                <w:rFonts w:cs="Times New Roman"/>
                <w:szCs w:val="20"/>
              </w:rPr>
              <w:t>Påse at vilkårene i markedsplass for omsetning av elektrisk kraft etterleves samt sikre at norske aktører står ovenfor ikke-diskriminerende regler og vilkår sammenlignet med aktører på konsesjonærens markedsplass utenfor Norge.</w:t>
            </w:r>
          </w:p>
        </w:tc>
      </w:tr>
      <w:tr w:rsidR="006403E0" w:rsidRPr="006729F7" w14:paraId="0FF558D7" w14:textId="77777777" w:rsidTr="007B1F37">
        <w:tc>
          <w:tcPr>
            <w:tcW w:w="2689" w:type="dxa"/>
          </w:tcPr>
          <w:p w14:paraId="0FF558D5" w14:textId="77777777" w:rsidR="006403E0" w:rsidRPr="006729F7" w:rsidRDefault="006403E0" w:rsidP="006403E0">
            <w:pPr>
              <w:pStyle w:val="Brdtekst"/>
              <w:spacing w:after="0"/>
              <w:rPr>
                <w:i/>
              </w:rPr>
            </w:pPr>
            <w:r w:rsidRPr="006729F7">
              <w:rPr>
                <w:i/>
              </w:rPr>
              <w:t>Tilsynsobjekter</w:t>
            </w:r>
          </w:p>
        </w:tc>
        <w:tc>
          <w:tcPr>
            <w:tcW w:w="6662" w:type="dxa"/>
          </w:tcPr>
          <w:p w14:paraId="0FF558D6" w14:textId="5204F156" w:rsidR="006403E0" w:rsidRPr="006729F7" w:rsidRDefault="006403E0" w:rsidP="003C19BE">
            <w:pPr>
              <w:pStyle w:val="Brdtekst"/>
              <w:rPr>
                <w:rFonts w:cs="Times New Roman"/>
                <w:szCs w:val="20"/>
              </w:rPr>
            </w:pPr>
            <w:r w:rsidRPr="006729F7">
              <w:rPr>
                <w:rFonts w:cs="Times New Roman"/>
                <w:szCs w:val="20"/>
              </w:rPr>
              <w:t>Nord Pool ASA, ev</w:t>
            </w:r>
            <w:r w:rsidR="006729F7">
              <w:rPr>
                <w:rFonts w:cs="Times New Roman"/>
                <w:szCs w:val="20"/>
              </w:rPr>
              <w:t>t</w:t>
            </w:r>
            <w:r w:rsidRPr="006729F7">
              <w:rPr>
                <w:rFonts w:cs="Times New Roman"/>
                <w:szCs w:val="20"/>
              </w:rPr>
              <w:t>. nye</w:t>
            </w:r>
            <w:r w:rsidR="003C19BE" w:rsidRPr="006729F7">
              <w:rPr>
                <w:rFonts w:cs="Times New Roman"/>
                <w:szCs w:val="20"/>
              </w:rPr>
              <w:t xml:space="preserve"> </w:t>
            </w:r>
            <w:r w:rsidRPr="006729F7">
              <w:rPr>
                <w:rFonts w:cs="Times New Roman"/>
                <w:szCs w:val="20"/>
              </w:rPr>
              <w:t>markedsplasskonsesjonærer</w:t>
            </w:r>
          </w:p>
        </w:tc>
      </w:tr>
      <w:tr w:rsidR="006403E0" w:rsidRPr="00D35DF0" w14:paraId="0FF558DA" w14:textId="77777777" w:rsidTr="007B1F37">
        <w:tc>
          <w:tcPr>
            <w:tcW w:w="2689" w:type="dxa"/>
          </w:tcPr>
          <w:p w14:paraId="0FF558D8" w14:textId="77777777" w:rsidR="006403E0" w:rsidRPr="006729F7" w:rsidRDefault="006403E0" w:rsidP="006403E0">
            <w:pPr>
              <w:pStyle w:val="Brdtekst"/>
              <w:spacing w:after="0"/>
              <w:rPr>
                <w:i/>
              </w:rPr>
            </w:pPr>
            <w:r w:rsidRPr="006729F7">
              <w:rPr>
                <w:i/>
              </w:rPr>
              <w:t>Tilsynsmetoder</w:t>
            </w:r>
          </w:p>
        </w:tc>
        <w:tc>
          <w:tcPr>
            <w:tcW w:w="6662" w:type="dxa"/>
          </w:tcPr>
          <w:p w14:paraId="0FF558D9" w14:textId="21B0101B" w:rsidR="006403E0" w:rsidRPr="006729F7" w:rsidRDefault="006729F7" w:rsidP="006403E0">
            <w:pPr>
              <w:pStyle w:val="Brdtekst"/>
              <w:rPr>
                <w:rFonts w:cs="Times New Roman"/>
                <w:szCs w:val="20"/>
              </w:rPr>
            </w:pPr>
            <w:r w:rsidRPr="006729F7">
              <w:rPr>
                <w:rFonts w:cs="Times New Roman"/>
                <w:szCs w:val="20"/>
              </w:rPr>
              <w:t>Oppfølgingsmøter med spesifikke tema, felles koordineringsmøter med nordiske og baltiske regulatorer, skriftlig informasjon samt oppfølgning av innsendt regnskap.</w:t>
            </w:r>
          </w:p>
        </w:tc>
      </w:tr>
    </w:tbl>
    <w:p w14:paraId="0FF558DB" w14:textId="77777777" w:rsidR="00746468" w:rsidRDefault="00746468" w:rsidP="00746468"/>
    <w:tbl>
      <w:tblPr>
        <w:tblStyle w:val="Tabellrutenett"/>
        <w:tblW w:w="9351" w:type="dxa"/>
        <w:tblLook w:val="04A0" w:firstRow="1" w:lastRow="0" w:firstColumn="1" w:lastColumn="0" w:noHBand="0" w:noVBand="1"/>
      </w:tblPr>
      <w:tblGrid>
        <w:gridCol w:w="2689"/>
        <w:gridCol w:w="6662"/>
      </w:tblGrid>
      <w:tr w:rsidR="00786B78" w14:paraId="28A13D13" w14:textId="77777777" w:rsidTr="009657B0">
        <w:tc>
          <w:tcPr>
            <w:tcW w:w="2689" w:type="dxa"/>
            <w:shd w:val="clear" w:color="auto" w:fill="0D0D0D" w:themeFill="text1" w:themeFillTint="F2"/>
          </w:tcPr>
          <w:p w14:paraId="3151013E" w14:textId="77777777" w:rsidR="00786B78" w:rsidRPr="007B1F37" w:rsidRDefault="00786B78" w:rsidP="009657B0">
            <w:pPr>
              <w:pStyle w:val="Brdtekst"/>
              <w:spacing w:after="0"/>
              <w:rPr>
                <w:b/>
                <w:color w:val="FFFFFF" w:themeColor="background1"/>
              </w:rPr>
            </w:pPr>
            <w:r w:rsidRPr="00C15798">
              <w:rPr>
                <w:rFonts w:eastAsiaTheme="minorEastAsia"/>
              </w:rPr>
              <w:t>Kraftsystemutredning</w:t>
            </w:r>
            <w:r>
              <w:rPr>
                <w:rFonts w:eastAsiaTheme="minorEastAsia"/>
              </w:rPr>
              <w:t>er</w:t>
            </w:r>
            <w:r w:rsidRPr="007B1F37">
              <w:rPr>
                <w:rFonts w:eastAsiaTheme="minorEastAsia"/>
                <w:b/>
              </w:rPr>
              <w:t xml:space="preserve"> </w:t>
            </w:r>
            <w:r w:rsidRPr="00C15798">
              <w:rPr>
                <w:rFonts w:eastAsiaTheme="minorEastAsia"/>
              </w:rPr>
              <w:t>for</w:t>
            </w:r>
            <w:r w:rsidRPr="007B1F37">
              <w:rPr>
                <w:rFonts w:eastAsiaTheme="minorEastAsia"/>
                <w:b/>
              </w:rPr>
              <w:t xml:space="preserve"> </w:t>
            </w:r>
            <w:r>
              <w:rPr>
                <w:rFonts w:eastAsiaTheme="minorEastAsia"/>
              </w:rPr>
              <w:t>regionalnettet</w:t>
            </w:r>
          </w:p>
        </w:tc>
        <w:tc>
          <w:tcPr>
            <w:tcW w:w="6662" w:type="dxa"/>
            <w:shd w:val="clear" w:color="auto" w:fill="0D0D0D" w:themeFill="text1" w:themeFillTint="F2"/>
          </w:tcPr>
          <w:p w14:paraId="0BA98842" w14:textId="77777777" w:rsidR="00786B78" w:rsidRPr="00791308" w:rsidRDefault="00786B78" w:rsidP="009657B0">
            <w:pPr>
              <w:pStyle w:val="Brdtekst"/>
              <w:spacing w:after="0"/>
              <w:rPr>
                <w:color w:val="FFFFFF" w:themeColor="background1"/>
              </w:rPr>
            </w:pPr>
            <w:r w:rsidRPr="00791308">
              <w:rPr>
                <w:color w:val="FFFFFF" w:themeColor="background1"/>
              </w:rPr>
              <w:t>Energiavdelingen –</w:t>
            </w:r>
          </w:p>
          <w:p w14:paraId="01DD1290" w14:textId="77777777" w:rsidR="00786B78" w:rsidRDefault="00786B78" w:rsidP="009657B0">
            <w:pPr>
              <w:pStyle w:val="Brdtekst"/>
              <w:spacing w:after="0"/>
              <w:rPr>
                <w:color w:val="FFFFFF" w:themeColor="background1"/>
              </w:rPr>
            </w:pPr>
            <w:r>
              <w:rPr>
                <w:color w:val="FFFFFF" w:themeColor="background1"/>
              </w:rPr>
              <w:t>s</w:t>
            </w:r>
            <w:r w:rsidRPr="00791308">
              <w:rPr>
                <w:color w:val="FFFFFF" w:themeColor="background1"/>
              </w:rPr>
              <w:t>eksjon for kraftsystem</w:t>
            </w:r>
          </w:p>
          <w:p w14:paraId="191DD5D6" w14:textId="77777777" w:rsidR="00786B78" w:rsidRPr="00C166FF" w:rsidRDefault="00786B78" w:rsidP="009657B0">
            <w:pPr>
              <w:pStyle w:val="Brdtekst"/>
              <w:spacing w:after="0"/>
              <w:rPr>
                <w:b/>
                <w:color w:val="FFFFFF" w:themeColor="background1"/>
              </w:rPr>
            </w:pPr>
          </w:p>
        </w:tc>
      </w:tr>
      <w:tr w:rsidR="00786B78" w14:paraId="53B344F8" w14:textId="77777777" w:rsidTr="009657B0">
        <w:tc>
          <w:tcPr>
            <w:tcW w:w="2689" w:type="dxa"/>
          </w:tcPr>
          <w:p w14:paraId="4CB0D393" w14:textId="77777777" w:rsidR="00786B78" w:rsidRPr="00D24525" w:rsidRDefault="00786B78" w:rsidP="009657B0">
            <w:pPr>
              <w:pStyle w:val="Brdtekst"/>
              <w:spacing w:after="0"/>
              <w:rPr>
                <w:i/>
              </w:rPr>
            </w:pPr>
            <w:r w:rsidRPr="00D24525">
              <w:rPr>
                <w:i/>
              </w:rPr>
              <w:t>Tema</w:t>
            </w:r>
          </w:p>
        </w:tc>
        <w:tc>
          <w:tcPr>
            <w:tcW w:w="6662" w:type="dxa"/>
          </w:tcPr>
          <w:p w14:paraId="36B187CB" w14:textId="77777777" w:rsidR="00786B78" w:rsidRPr="00D24525" w:rsidRDefault="00786B78" w:rsidP="009657B0">
            <w:pPr>
              <w:pStyle w:val="Brdtekst"/>
              <w:rPr>
                <w:rFonts w:cs="Times New Roman"/>
                <w:szCs w:val="20"/>
              </w:rPr>
            </w:pPr>
            <w:r w:rsidRPr="00D24525">
              <w:rPr>
                <w:rFonts w:cs="Times New Roman"/>
                <w:szCs w:val="20"/>
              </w:rPr>
              <w:t>Krav til innhold i kraftsystemutredning for regionalnettet og krav til hovedrapport</w:t>
            </w:r>
            <w:r>
              <w:rPr>
                <w:rFonts w:cs="Times New Roman"/>
                <w:szCs w:val="20"/>
              </w:rPr>
              <w:t>.</w:t>
            </w:r>
          </w:p>
        </w:tc>
      </w:tr>
      <w:tr w:rsidR="00786B78" w14:paraId="04106F1B" w14:textId="77777777" w:rsidTr="009657B0">
        <w:tc>
          <w:tcPr>
            <w:tcW w:w="2689" w:type="dxa"/>
          </w:tcPr>
          <w:p w14:paraId="1F69D036" w14:textId="77777777" w:rsidR="00786B78" w:rsidRPr="00D24525" w:rsidRDefault="00786B78" w:rsidP="009657B0">
            <w:pPr>
              <w:pStyle w:val="Brdtekst"/>
              <w:spacing w:after="0"/>
              <w:rPr>
                <w:i/>
              </w:rPr>
            </w:pPr>
            <w:r w:rsidRPr="00D24525">
              <w:rPr>
                <w:i/>
              </w:rPr>
              <w:t>Tilsynsobjekter</w:t>
            </w:r>
          </w:p>
        </w:tc>
        <w:tc>
          <w:tcPr>
            <w:tcW w:w="6662" w:type="dxa"/>
          </w:tcPr>
          <w:p w14:paraId="39657398" w14:textId="77777777" w:rsidR="00786B78" w:rsidRPr="00D24525" w:rsidRDefault="00786B78" w:rsidP="009657B0">
            <w:pPr>
              <w:pStyle w:val="Brdtekst"/>
              <w:rPr>
                <w:rFonts w:cs="Times New Roman"/>
                <w:szCs w:val="20"/>
              </w:rPr>
            </w:pPr>
            <w:r>
              <w:rPr>
                <w:rFonts w:cs="Times New Roman"/>
                <w:szCs w:val="20"/>
              </w:rPr>
              <w:t>Alle u</w:t>
            </w:r>
            <w:r w:rsidRPr="00D24525">
              <w:rPr>
                <w:rFonts w:cs="Times New Roman"/>
                <w:szCs w:val="20"/>
              </w:rPr>
              <w:t>tredningsansvarlig</w:t>
            </w:r>
            <w:r>
              <w:rPr>
                <w:rFonts w:cs="Times New Roman"/>
                <w:szCs w:val="20"/>
              </w:rPr>
              <w:t>e</w:t>
            </w:r>
            <w:r w:rsidRPr="00D24525">
              <w:rPr>
                <w:rFonts w:cs="Times New Roman"/>
                <w:szCs w:val="20"/>
              </w:rPr>
              <w:t xml:space="preserve"> selskap for regionalnettet</w:t>
            </w:r>
            <w:r>
              <w:rPr>
                <w:rFonts w:cs="Times New Roman"/>
                <w:szCs w:val="20"/>
              </w:rPr>
              <w:t>. Det gjøres kontroller av alle kraftsystemutredningene da dette også gir et godt informasjonsgrunnlag for saksbehandlere på seksjonen.</w:t>
            </w:r>
          </w:p>
        </w:tc>
      </w:tr>
      <w:tr w:rsidR="00786B78" w14:paraId="6A2D6EF3" w14:textId="77777777" w:rsidTr="009657B0">
        <w:tc>
          <w:tcPr>
            <w:tcW w:w="2689" w:type="dxa"/>
          </w:tcPr>
          <w:p w14:paraId="05830CF8" w14:textId="77777777" w:rsidR="00786B78" w:rsidRPr="00D24525" w:rsidRDefault="00786B78" w:rsidP="009657B0">
            <w:pPr>
              <w:pStyle w:val="Brdtekst"/>
              <w:spacing w:after="0"/>
              <w:rPr>
                <w:i/>
              </w:rPr>
            </w:pPr>
            <w:r w:rsidRPr="00D24525">
              <w:rPr>
                <w:i/>
              </w:rPr>
              <w:t>Tilsynsmetoder</w:t>
            </w:r>
          </w:p>
        </w:tc>
        <w:tc>
          <w:tcPr>
            <w:tcW w:w="6662" w:type="dxa"/>
          </w:tcPr>
          <w:p w14:paraId="0F953560" w14:textId="77777777" w:rsidR="00786B78" w:rsidRPr="00D24525" w:rsidRDefault="00786B78" w:rsidP="009657B0">
            <w:pPr>
              <w:pStyle w:val="Brdtekst"/>
              <w:rPr>
                <w:rFonts w:cs="Times New Roman"/>
                <w:szCs w:val="20"/>
              </w:rPr>
            </w:pPr>
            <w:r w:rsidRPr="00D24525">
              <w:rPr>
                <w:rFonts w:cs="Times New Roman"/>
                <w:szCs w:val="20"/>
              </w:rPr>
              <w:t>Skriftlig kontroll</w:t>
            </w:r>
          </w:p>
        </w:tc>
      </w:tr>
    </w:tbl>
    <w:p w14:paraId="47B2CC36" w14:textId="77777777" w:rsidR="00786B78" w:rsidRDefault="00786B78" w:rsidP="00746468"/>
    <w:p w14:paraId="75DB886A" w14:textId="77777777" w:rsidR="00976300" w:rsidRDefault="00976300" w:rsidP="00746468"/>
    <w:p w14:paraId="020D35CF" w14:textId="77777777" w:rsidR="00976300" w:rsidRDefault="00976300" w:rsidP="00746468"/>
    <w:p w14:paraId="4FD5FDDF" w14:textId="77777777" w:rsidR="00976300" w:rsidRDefault="00976300" w:rsidP="00746468"/>
    <w:tbl>
      <w:tblPr>
        <w:tblW w:w="9346" w:type="dxa"/>
        <w:tblCellMar>
          <w:left w:w="0" w:type="dxa"/>
          <w:right w:w="0" w:type="dxa"/>
        </w:tblCellMar>
        <w:tblLook w:val="04A0" w:firstRow="1" w:lastRow="0" w:firstColumn="1" w:lastColumn="0" w:noHBand="0" w:noVBand="1"/>
      </w:tblPr>
      <w:tblGrid>
        <w:gridCol w:w="2684"/>
        <w:gridCol w:w="6662"/>
      </w:tblGrid>
      <w:tr w:rsidR="00746468" w14:paraId="0FF558E0" w14:textId="77777777" w:rsidTr="007B1F37">
        <w:tc>
          <w:tcPr>
            <w:tcW w:w="2684" w:type="dxa"/>
            <w:tcBorders>
              <w:top w:val="single" w:sz="8" w:space="0" w:color="auto"/>
              <w:left w:val="single" w:sz="8" w:space="0" w:color="auto"/>
              <w:bottom w:val="single" w:sz="8" w:space="0" w:color="auto"/>
              <w:right w:val="single" w:sz="8" w:space="0" w:color="auto"/>
            </w:tcBorders>
            <w:shd w:val="clear" w:color="auto" w:fill="0D0D0D"/>
            <w:tcMar>
              <w:top w:w="0" w:type="dxa"/>
              <w:left w:w="108" w:type="dxa"/>
              <w:bottom w:w="0" w:type="dxa"/>
              <w:right w:w="108" w:type="dxa"/>
            </w:tcMar>
            <w:hideMark/>
          </w:tcPr>
          <w:p w14:paraId="0FF558DC" w14:textId="77777777" w:rsidR="00746468" w:rsidRPr="006403E0" w:rsidRDefault="006403E0" w:rsidP="006403E0">
            <w:pPr>
              <w:pStyle w:val="Brdtekst"/>
              <w:spacing w:after="0"/>
              <w:rPr>
                <w:color w:val="FFFFFF"/>
              </w:rPr>
            </w:pPr>
            <w:r w:rsidRPr="006403E0">
              <w:rPr>
                <w:bCs/>
                <w:color w:val="FFFFFF"/>
              </w:rPr>
              <w:lastRenderedPageBreak/>
              <w:t>Elsertifikater</w:t>
            </w:r>
          </w:p>
        </w:tc>
        <w:tc>
          <w:tcPr>
            <w:tcW w:w="6662" w:type="dxa"/>
            <w:tcBorders>
              <w:top w:val="single" w:sz="8" w:space="0" w:color="auto"/>
              <w:left w:val="nil"/>
              <w:bottom w:val="single" w:sz="8" w:space="0" w:color="auto"/>
              <w:right w:val="single" w:sz="8" w:space="0" w:color="auto"/>
            </w:tcBorders>
            <w:shd w:val="clear" w:color="auto" w:fill="0D0D0D"/>
            <w:tcMar>
              <w:top w:w="0" w:type="dxa"/>
              <w:left w:w="108" w:type="dxa"/>
              <w:bottom w:w="0" w:type="dxa"/>
              <w:right w:w="108" w:type="dxa"/>
            </w:tcMar>
            <w:hideMark/>
          </w:tcPr>
          <w:p w14:paraId="0FF558DD" w14:textId="77777777" w:rsidR="00746468" w:rsidRDefault="006403E0" w:rsidP="00EC7F07">
            <w:pPr>
              <w:pStyle w:val="Brdtekst"/>
              <w:spacing w:after="0"/>
              <w:rPr>
                <w:color w:val="FFFFFF"/>
              </w:rPr>
            </w:pPr>
            <w:r>
              <w:rPr>
                <w:color w:val="FFFFFF"/>
              </w:rPr>
              <w:t>Energiavdelingen –</w:t>
            </w:r>
          </w:p>
          <w:p w14:paraId="0FF558DE" w14:textId="77777777" w:rsidR="006403E0" w:rsidRDefault="006403E0" w:rsidP="00EC7F07">
            <w:pPr>
              <w:pStyle w:val="Brdtekst"/>
              <w:spacing w:after="0"/>
              <w:rPr>
                <w:color w:val="FFFFFF"/>
              </w:rPr>
            </w:pPr>
            <w:r>
              <w:rPr>
                <w:color w:val="FFFFFF"/>
              </w:rPr>
              <w:t>seksjon for virkemidler og internasjonale rammer</w:t>
            </w:r>
          </w:p>
          <w:p w14:paraId="0FF558DF" w14:textId="77777777" w:rsidR="004B3795" w:rsidRDefault="004B3795" w:rsidP="00EC7F07">
            <w:pPr>
              <w:pStyle w:val="Brdtekst"/>
              <w:spacing w:after="0"/>
              <w:rPr>
                <w:color w:val="FFFFFF"/>
              </w:rPr>
            </w:pPr>
          </w:p>
        </w:tc>
      </w:tr>
      <w:tr w:rsidR="00746468" w14:paraId="0FF558E3"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1" w14:textId="77777777" w:rsidR="00746468" w:rsidRDefault="00746468" w:rsidP="00EC7F07">
            <w:pPr>
              <w:pStyle w:val="Brdtekst"/>
              <w:spacing w:after="0"/>
              <w:rPr>
                <w:i/>
                <w:iCs/>
              </w:rPr>
            </w:pPr>
            <w:r w:rsidRPr="002B2D2D">
              <w:rPr>
                <w:i/>
                <w:iCs/>
              </w:rPr>
              <w:t>Tema</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2" w14:textId="77777777" w:rsidR="00746468" w:rsidRDefault="00746468" w:rsidP="00EC7F07">
            <w:pPr>
              <w:pStyle w:val="Brdtekst"/>
            </w:pPr>
            <w:r>
              <w:t xml:space="preserve">Om søknader om elsertifikat tilfredsstiller kravene til tildeling (elsertifikatforskriften § 9). </w:t>
            </w:r>
          </w:p>
        </w:tc>
      </w:tr>
      <w:tr w:rsidR="00746468" w14:paraId="0FF558E9"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7" w14:textId="77777777" w:rsidR="00746468" w:rsidRDefault="00746468" w:rsidP="00EC7F07">
            <w:pPr>
              <w:pStyle w:val="Brdtekst"/>
              <w:spacing w:after="0"/>
              <w:rPr>
                <w:i/>
                <w:iCs/>
              </w:rPr>
            </w:pPr>
            <w:r>
              <w:rPr>
                <w:i/>
                <w:iCs/>
              </w:rPr>
              <w:t>Tilsynsobjekter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8" w14:textId="77777777" w:rsidR="00746468" w:rsidRDefault="00746468" w:rsidP="00EC7F07">
            <w:pPr>
              <w:pStyle w:val="Brdtekst"/>
            </w:pPr>
            <w:r>
              <w:t xml:space="preserve">Eiere av vassdragsanlegg som søker om elsertifikat. </w:t>
            </w:r>
          </w:p>
        </w:tc>
      </w:tr>
      <w:tr w:rsidR="00746468" w14:paraId="0FF558EC" w14:textId="77777777" w:rsidTr="007B1F37">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F558EA" w14:textId="77777777" w:rsidR="00746468" w:rsidRDefault="00746468" w:rsidP="00EC7F07">
            <w:pPr>
              <w:pStyle w:val="Brdtekst"/>
              <w:spacing w:after="0"/>
              <w:rPr>
                <w:i/>
                <w:iCs/>
              </w:rPr>
            </w:pPr>
            <w:r>
              <w:rPr>
                <w:i/>
                <w:iCs/>
              </w:rPr>
              <w:t>Tilsynsmetoder</w:t>
            </w:r>
          </w:p>
        </w:tc>
        <w:tc>
          <w:tcPr>
            <w:tcW w:w="6662" w:type="dxa"/>
            <w:tcBorders>
              <w:top w:val="nil"/>
              <w:left w:val="nil"/>
              <w:bottom w:val="single" w:sz="8" w:space="0" w:color="auto"/>
              <w:right w:val="single" w:sz="8" w:space="0" w:color="auto"/>
            </w:tcBorders>
            <w:tcMar>
              <w:top w:w="0" w:type="dxa"/>
              <w:left w:w="108" w:type="dxa"/>
              <w:bottom w:w="0" w:type="dxa"/>
              <w:right w:w="108" w:type="dxa"/>
            </w:tcMar>
            <w:hideMark/>
          </w:tcPr>
          <w:p w14:paraId="0FF558EB" w14:textId="77777777" w:rsidR="00746468" w:rsidRDefault="00746468" w:rsidP="00EC7F07">
            <w:pPr>
              <w:pStyle w:val="Brdtekst"/>
            </w:pPr>
            <w:r>
              <w:t>Dokumentgjennomgang</w:t>
            </w:r>
          </w:p>
        </w:tc>
      </w:tr>
    </w:tbl>
    <w:p w14:paraId="0FF558EE" w14:textId="77777777" w:rsidR="00746468" w:rsidRDefault="00746468" w:rsidP="00746468">
      <w:pPr>
        <w:spacing w:line="240" w:lineRule="auto"/>
      </w:pPr>
    </w:p>
    <w:p w14:paraId="0FF558EF" w14:textId="77777777" w:rsidR="00746468" w:rsidRDefault="00746468" w:rsidP="00746468">
      <w:pPr>
        <w:spacing w:line="240" w:lineRule="auto"/>
      </w:pPr>
    </w:p>
    <w:p w14:paraId="0FF558F0" w14:textId="77777777" w:rsidR="00746468" w:rsidRPr="000447E0" w:rsidRDefault="00746468" w:rsidP="00746468">
      <w:pPr>
        <w:pStyle w:val="Brdtekst"/>
        <w:numPr>
          <w:ilvl w:val="0"/>
          <w:numId w:val="5"/>
        </w:numPr>
        <w:spacing w:after="0"/>
      </w:pPr>
      <w:r w:rsidRPr="000447E0">
        <w:t>Energimerking og energibruk</w:t>
      </w:r>
    </w:p>
    <w:p w14:paraId="0FF558F1" w14:textId="77777777" w:rsidR="00746468" w:rsidRDefault="00746468" w:rsidP="00746468">
      <w:pPr>
        <w:pStyle w:val="Brdtekst"/>
        <w:spacing w:after="0"/>
        <w:rPr>
          <w:u w:val="single"/>
        </w:rPr>
      </w:pPr>
    </w:p>
    <w:tbl>
      <w:tblPr>
        <w:tblStyle w:val="Tabellrutenett"/>
        <w:tblW w:w="9351" w:type="dxa"/>
        <w:tblLook w:val="04A0" w:firstRow="1" w:lastRow="0" w:firstColumn="1" w:lastColumn="0" w:noHBand="0" w:noVBand="1"/>
      </w:tblPr>
      <w:tblGrid>
        <w:gridCol w:w="2689"/>
        <w:gridCol w:w="6662"/>
      </w:tblGrid>
      <w:tr w:rsidR="00746468" w14:paraId="0FF558F6" w14:textId="77777777" w:rsidTr="007B1F37">
        <w:tc>
          <w:tcPr>
            <w:tcW w:w="2689" w:type="dxa"/>
            <w:shd w:val="clear" w:color="auto" w:fill="0D0D0D" w:themeFill="text1" w:themeFillTint="F2"/>
          </w:tcPr>
          <w:p w14:paraId="0FF558F2" w14:textId="77777777" w:rsidR="00746468" w:rsidRPr="006403E0" w:rsidRDefault="006403E0" w:rsidP="00EC7F07">
            <w:pPr>
              <w:pStyle w:val="Brdtekst"/>
              <w:spacing w:after="0"/>
              <w:rPr>
                <w:color w:val="FFFFFF" w:themeColor="background1"/>
              </w:rPr>
            </w:pPr>
            <w:r w:rsidRPr="006403E0">
              <w:rPr>
                <w:color w:val="FFFFFF" w:themeColor="background1"/>
              </w:rPr>
              <w:t>Energimerking av bygg og energivurderinger</w:t>
            </w:r>
          </w:p>
        </w:tc>
        <w:tc>
          <w:tcPr>
            <w:tcW w:w="6662" w:type="dxa"/>
            <w:shd w:val="clear" w:color="auto" w:fill="0D0D0D" w:themeFill="text1" w:themeFillTint="F2"/>
          </w:tcPr>
          <w:p w14:paraId="0FF558F3" w14:textId="77777777" w:rsidR="006403E0" w:rsidRPr="00791308" w:rsidRDefault="006403E0" w:rsidP="006403E0">
            <w:pPr>
              <w:pStyle w:val="Brdtekst"/>
              <w:spacing w:after="0"/>
              <w:rPr>
                <w:color w:val="FFFFFF" w:themeColor="background1"/>
              </w:rPr>
            </w:pPr>
            <w:r>
              <w:rPr>
                <w:color w:val="FFFFFF" w:themeColor="background1"/>
              </w:rPr>
              <w:t>Energiavdelingen</w:t>
            </w:r>
            <w:r w:rsidRPr="00791308">
              <w:rPr>
                <w:color w:val="FFFFFF" w:themeColor="background1"/>
              </w:rPr>
              <w:t xml:space="preserve"> –</w:t>
            </w:r>
          </w:p>
          <w:p w14:paraId="0FF558F4" w14:textId="77777777" w:rsidR="00746468" w:rsidRDefault="006403E0" w:rsidP="006403E0">
            <w:pPr>
              <w:pStyle w:val="Brdtekst"/>
              <w:spacing w:after="0"/>
              <w:rPr>
                <w:color w:val="FFFFFF" w:themeColor="background1"/>
              </w:rPr>
            </w:pPr>
            <w:r>
              <w:rPr>
                <w:color w:val="FFFFFF" w:themeColor="background1"/>
              </w:rPr>
              <w:t>s</w:t>
            </w:r>
            <w:r w:rsidRPr="00791308">
              <w:rPr>
                <w:color w:val="FFFFFF" w:themeColor="background1"/>
              </w:rPr>
              <w:t xml:space="preserve">eksjon for </w:t>
            </w:r>
            <w:r>
              <w:rPr>
                <w:color w:val="FFFFFF" w:themeColor="background1"/>
              </w:rPr>
              <w:t>energibruk og teknologier</w:t>
            </w:r>
          </w:p>
          <w:p w14:paraId="0FF558F5" w14:textId="77777777" w:rsidR="006403E0" w:rsidRPr="00EE329D" w:rsidRDefault="006403E0" w:rsidP="006403E0">
            <w:pPr>
              <w:pStyle w:val="Brdtekst"/>
              <w:spacing w:after="0"/>
              <w:rPr>
                <w:color w:val="FFFFFF" w:themeColor="background1"/>
              </w:rPr>
            </w:pPr>
          </w:p>
        </w:tc>
      </w:tr>
      <w:tr w:rsidR="00746468" w14:paraId="0FF558F9" w14:textId="77777777" w:rsidTr="007B1F37">
        <w:tc>
          <w:tcPr>
            <w:tcW w:w="2689" w:type="dxa"/>
          </w:tcPr>
          <w:p w14:paraId="0FF558F7" w14:textId="77777777" w:rsidR="00746468" w:rsidRPr="00EE329D" w:rsidRDefault="00746468" w:rsidP="00EC7F07">
            <w:pPr>
              <w:pStyle w:val="Brdtekst"/>
              <w:spacing w:after="0"/>
              <w:rPr>
                <w:i/>
              </w:rPr>
            </w:pPr>
            <w:r w:rsidRPr="002B2D2D">
              <w:rPr>
                <w:i/>
              </w:rPr>
              <w:t>Tema</w:t>
            </w:r>
          </w:p>
        </w:tc>
        <w:tc>
          <w:tcPr>
            <w:tcW w:w="6662" w:type="dxa"/>
          </w:tcPr>
          <w:p w14:paraId="54748F88" w14:textId="77777777" w:rsidR="00C15798" w:rsidRDefault="00BF5598" w:rsidP="00C15798">
            <w:pPr>
              <w:pStyle w:val="Brdtekst"/>
              <w:rPr>
                <w:rFonts w:cs="Times New Roman"/>
                <w:szCs w:val="20"/>
              </w:rPr>
            </w:pPr>
            <w:r>
              <w:rPr>
                <w:rFonts w:cs="Times New Roman"/>
                <w:szCs w:val="20"/>
              </w:rPr>
              <w:t>Kontroll av energiattester/</w:t>
            </w:r>
            <w:r w:rsidR="002C4828">
              <w:rPr>
                <w:rFonts w:cs="Times New Roman"/>
                <w:szCs w:val="20"/>
              </w:rPr>
              <w:t>energivurderinger for yrkesbygg</w:t>
            </w:r>
            <w:r w:rsidR="00C15798">
              <w:rPr>
                <w:rFonts w:cs="Times New Roman"/>
                <w:szCs w:val="20"/>
              </w:rPr>
              <w:t>.</w:t>
            </w:r>
          </w:p>
          <w:p w14:paraId="47D5BEAA" w14:textId="7460A8C7" w:rsidR="00C15798" w:rsidRPr="005165BC" w:rsidRDefault="00C15798" w:rsidP="00C15798">
            <w:pPr>
              <w:pStyle w:val="Brdtekst"/>
              <w:rPr>
                <w:rFonts w:cs="Times New Roman"/>
                <w:szCs w:val="20"/>
              </w:rPr>
            </w:pPr>
            <w:r w:rsidRPr="005165BC">
              <w:rPr>
                <w:rFonts w:cs="Times New Roman"/>
                <w:szCs w:val="20"/>
              </w:rPr>
              <w:t>Yrkesbyggsektoren har stort energisparepotensiale, men statistikken viser her at plikten til energimerking og energivurdering i stor grad ikke etterleves.</w:t>
            </w:r>
          </w:p>
          <w:p w14:paraId="6E004ECE" w14:textId="77777777" w:rsidR="00C15798" w:rsidRPr="005165BC" w:rsidRDefault="00C15798" w:rsidP="00C15798">
            <w:pPr>
              <w:pStyle w:val="Brdtekst"/>
              <w:rPr>
                <w:rFonts w:cs="Times New Roman"/>
                <w:szCs w:val="20"/>
              </w:rPr>
            </w:pPr>
            <w:r w:rsidRPr="005165BC">
              <w:rPr>
                <w:rFonts w:cs="Times New Roman"/>
                <w:szCs w:val="20"/>
              </w:rPr>
              <w:t>Yrkesbygg uten registrert energiattest og/eller energivurdering i Enovas energimerkesystem.</w:t>
            </w:r>
          </w:p>
          <w:p w14:paraId="0FF558F8" w14:textId="1CDC3258" w:rsidR="00746468" w:rsidRPr="00D35DF0" w:rsidRDefault="00C15798" w:rsidP="00C15798">
            <w:pPr>
              <w:pStyle w:val="Brdtekst"/>
              <w:rPr>
                <w:rFonts w:cs="Times New Roman"/>
                <w:szCs w:val="20"/>
              </w:rPr>
            </w:pPr>
            <w:r w:rsidRPr="005165BC">
              <w:rPr>
                <w:rFonts w:cs="Times New Roman"/>
                <w:szCs w:val="20"/>
              </w:rPr>
              <w:t>Yrkesbygg med høy energikarakter, særlig A – C, hvor eier/kjøper/leietaker antas å legge vekt på god energikarakter, og hvor det da er viktig å kontrollere at denne er korrekt beregnet.</w:t>
            </w:r>
          </w:p>
        </w:tc>
      </w:tr>
      <w:tr w:rsidR="00746468" w14:paraId="0FF55902" w14:textId="77777777" w:rsidTr="007B1F37">
        <w:tc>
          <w:tcPr>
            <w:tcW w:w="2689" w:type="dxa"/>
          </w:tcPr>
          <w:p w14:paraId="0FF55900" w14:textId="77777777" w:rsidR="00746468" w:rsidRPr="00EE329D" w:rsidRDefault="00746468" w:rsidP="00EC7F07">
            <w:pPr>
              <w:pStyle w:val="Brdtekst"/>
              <w:spacing w:after="0"/>
              <w:rPr>
                <w:i/>
              </w:rPr>
            </w:pPr>
            <w:r w:rsidRPr="00EE329D">
              <w:rPr>
                <w:i/>
              </w:rPr>
              <w:t>Tilsynsobjekter</w:t>
            </w:r>
          </w:p>
        </w:tc>
        <w:tc>
          <w:tcPr>
            <w:tcW w:w="6662" w:type="dxa"/>
          </w:tcPr>
          <w:p w14:paraId="0FF55901" w14:textId="77777777" w:rsidR="00746468" w:rsidRPr="00D35DF0" w:rsidRDefault="00746468" w:rsidP="00EC7F07">
            <w:pPr>
              <w:pStyle w:val="Brdtekst"/>
              <w:rPr>
                <w:rFonts w:cs="Times New Roman"/>
                <w:szCs w:val="20"/>
              </w:rPr>
            </w:pPr>
            <w:r w:rsidRPr="00D35DF0">
              <w:rPr>
                <w:rFonts w:cs="Times New Roman"/>
                <w:szCs w:val="20"/>
              </w:rPr>
              <w:t xml:space="preserve">Eiere av merkepliktige bygg og energianlegg </w:t>
            </w:r>
          </w:p>
        </w:tc>
      </w:tr>
      <w:tr w:rsidR="00746468" w14:paraId="0FF55905" w14:textId="77777777" w:rsidTr="007B1F37">
        <w:tc>
          <w:tcPr>
            <w:tcW w:w="2689" w:type="dxa"/>
          </w:tcPr>
          <w:p w14:paraId="0FF55903" w14:textId="77777777" w:rsidR="00746468" w:rsidRPr="00EE329D" w:rsidRDefault="00746468" w:rsidP="00EC7F07">
            <w:pPr>
              <w:pStyle w:val="Brdtekst"/>
              <w:spacing w:after="0"/>
              <w:rPr>
                <w:i/>
              </w:rPr>
            </w:pPr>
            <w:r w:rsidRPr="00EE329D">
              <w:rPr>
                <w:i/>
              </w:rPr>
              <w:t>Tilsynsmetoder</w:t>
            </w:r>
          </w:p>
        </w:tc>
        <w:tc>
          <w:tcPr>
            <w:tcW w:w="6662" w:type="dxa"/>
          </w:tcPr>
          <w:p w14:paraId="0FF55904" w14:textId="77777777" w:rsidR="00746468" w:rsidRPr="00D35DF0" w:rsidRDefault="00BF5598" w:rsidP="00EC7F07">
            <w:pPr>
              <w:pStyle w:val="Brdtekst"/>
              <w:rPr>
                <w:rFonts w:cs="Times New Roman"/>
                <w:szCs w:val="20"/>
              </w:rPr>
            </w:pPr>
            <w:r>
              <w:rPr>
                <w:rFonts w:cs="Times New Roman"/>
                <w:szCs w:val="20"/>
              </w:rPr>
              <w:t>Skriftlig kontroll</w:t>
            </w:r>
            <w:r w:rsidR="00746468" w:rsidRPr="00D35DF0">
              <w:rPr>
                <w:rFonts w:cs="Times New Roman"/>
                <w:szCs w:val="20"/>
              </w:rPr>
              <w:t>, stedlig kontroll</w:t>
            </w:r>
          </w:p>
        </w:tc>
      </w:tr>
    </w:tbl>
    <w:p w14:paraId="0FF55908" w14:textId="77777777" w:rsidR="006B64D9" w:rsidRDefault="006B64D9"/>
    <w:tbl>
      <w:tblPr>
        <w:tblStyle w:val="Tabellrutenett"/>
        <w:tblW w:w="9351" w:type="dxa"/>
        <w:tblLook w:val="04A0" w:firstRow="1" w:lastRow="0" w:firstColumn="1" w:lastColumn="0" w:noHBand="0" w:noVBand="1"/>
      </w:tblPr>
      <w:tblGrid>
        <w:gridCol w:w="2689"/>
        <w:gridCol w:w="6662"/>
      </w:tblGrid>
      <w:tr w:rsidR="00746468" w14:paraId="0FF5590D" w14:textId="77777777" w:rsidTr="007B1F37">
        <w:tc>
          <w:tcPr>
            <w:tcW w:w="2689" w:type="dxa"/>
            <w:shd w:val="clear" w:color="auto" w:fill="0D0D0D" w:themeFill="text1" w:themeFillTint="F2"/>
          </w:tcPr>
          <w:p w14:paraId="0FF55909" w14:textId="77777777" w:rsidR="00746468" w:rsidRPr="004B3795" w:rsidRDefault="004B3795" w:rsidP="00EC7F07">
            <w:pPr>
              <w:pStyle w:val="Brdtekst"/>
              <w:spacing w:after="0"/>
              <w:rPr>
                <w:color w:val="FFFFFF" w:themeColor="background1"/>
              </w:rPr>
            </w:pPr>
            <w:r w:rsidRPr="004B3795">
              <w:rPr>
                <w:color w:val="FFFFFF" w:themeColor="background1"/>
              </w:rPr>
              <w:t>Energimerking av energirelaterte produkter</w:t>
            </w:r>
          </w:p>
        </w:tc>
        <w:tc>
          <w:tcPr>
            <w:tcW w:w="6662" w:type="dxa"/>
            <w:shd w:val="clear" w:color="auto" w:fill="0D0D0D" w:themeFill="text1" w:themeFillTint="F2"/>
          </w:tcPr>
          <w:p w14:paraId="0FF5590A" w14:textId="77777777" w:rsidR="00746468" w:rsidRDefault="004B3795" w:rsidP="00EC7F07">
            <w:pPr>
              <w:pStyle w:val="Brdtekst"/>
              <w:spacing w:after="0"/>
              <w:rPr>
                <w:color w:val="FFFFFF" w:themeColor="background1"/>
              </w:rPr>
            </w:pPr>
            <w:r>
              <w:rPr>
                <w:color w:val="FFFFFF" w:themeColor="background1"/>
              </w:rPr>
              <w:t>Energiavdelingen –</w:t>
            </w:r>
          </w:p>
          <w:p w14:paraId="0FF5590B" w14:textId="77777777" w:rsidR="004B3795" w:rsidRDefault="00A23040" w:rsidP="00EC7F07">
            <w:pPr>
              <w:pStyle w:val="Brdtekst"/>
              <w:spacing w:after="0"/>
              <w:rPr>
                <w:color w:val="FFFFFF" w:themeColor="background1"/>
              </w:rPr>
            </w:pPr>
            <w:r>
              <w:rPr>
                <w:color w:val="FFFFFF" w:themeColor="background1"/>
              </w:rPr>
              <w:t>seksjon</w:t>
            </w:r>
            <w:r w:rsidR="004B3795">
              <w:rPr>
                <w:color w:val="FFFFFF" w:themeColor="background1"/>
              </w:rPr>
              <w:t xml:space="preserve"> for virkemidler og internasjonale rammer</w:t>
            </w:r>
          </w:p>
          <w:p w14:paraId="0FF5590C" w14:textId="77777777" w:rsidR="004B3795" w:rsidRPr="00EE329D" w:rsidRDefault="004B3795" w:rsidP="00EC7F07">
            <w:pPr>
              <w:pStyle w:val="Brdtekst"/>
              <w:spacing w:after="0"/>
              <w:rPr>
                <w:color w:val="FFFFFF" w:themeColor="background1"/>
              </w:rPr>
            </w:pPr>
          </w:p>
        </w:tc>
      </w:tr>
      <w:tr w:rsidR="00746468" w14:paraId="0FF55910" w14:textId="77777777" w:rsidTr="007B1F37">
        <w:tc>
          <w:tcPr>
            <w:tcW w:w="2689" w:type="dxa"/>
          </w:tcPr>
          <w:p w14:paraId="0FF5590E" w14:textId="77777777" w:rsidR="00746468" w:rsidRPr="00EE329D" w:rsidRDefault="00746468" w:rsidP="00EC7F07">
            <w:pPr>
              <w:pStyle w:val="Brdtekst"/>
              <w:spacing w:after="0"/>
              <w:rPr>
                <w:i/>
              </w:rPr>
            </w:pPr>
            <w:r w:rsidRPr="002B2D2D">
              <w:rPr>
                <w:i/>
              </w:rPr>
              <w:t>Tema</w:t>
            </w:r>
          </w:p>
        </w:tc>
        <w:tc>
          <w:tcPr>
            <w:tcW w:w="6662" w:type="dxa"/>
          </w:tcPr>
          <w:p w14:paraId="0FF5590F" w14:textId="681993A4" w:rsidR="00746468" w:rsidRPr="00D35DF0" w:rsidRDefault="00BF5598" w:rsidP="00EC7F07">
            <w:pPr>
              <w:pStyle w:val="Brdtekst"/>
              <w:rPr>
                <w:rFonts w:cs="Times New Roman"/>
                <w:szCs w:val="20"/>
              </w:rPr>
            </w:pPr>
            <w:r>
              <w:rPr>
                <w:rFonts w:cs="Times New Roman"/>
                <w:szCs w:val="20"/>
              </w:rPr>
              <w:t>Kontroll med energimerking av produkter</w:t>
            </w:r>
            <w:r w:rsidR="00C15798">
              <w:rPr>
                <w:rFonts w:cs="Times New Roman"/>
                <w:szCs w:val="20"/>
              </w:rPr>
              <w:t xml:space="preserve"> som angår mange brukere.</w:t>
            </w:r>
          </w:p>
        </w:tc>
      </w:tr>
      <w:tr w:rsidR="00746468" w14:paraId="0FF55917" w14:textId="77777777" w:rsidTr="007B1F37">
        <w:tc>
          <w:tcPr>
            <w:tcW w:w="2689" w:type="dxa"/>
          </w:tcPr>
          <w:p w14:paraId="0FF55915" w14:textId="77777777" w:rsidR="00746468" w:rsidRPr="00EE329D" w:rsidRDefault="00746468" w:rsidP="00EC7F07">
            <w:pPr>
              <w:pStyle w:val="Brdtekst"/>
              <w:spacing w:after="0"/>
              <w:rPr>
                <w:i/>
              </w:rPr>
            </w:pPr>
            <w:r w:rsidRPr="00EE329D">
              <w:rPr>
                <w:i/>
              </w:rPr>
              <w:t>Tilsynsobjekter</w:t>
            </w:r>
          </w:p>
        </w:tc>
        <w:tc>
          <w:tcPr>
            <w:tcW w:w="6662" w:type="dxa"/>
          </w:tcPr>
          <w:p w14:paraId="0FF55916" w14:textId="77777777" w:rsidR="00746468" w:rsidRPr="00D35DF0" w:rsidRDefault="00746468" w:rsidP="00EC7F07">
            <w:pPr>
              <w:pStyle w:val="Brdtekst"/>
              <w:rPr>
                <w:rFonts w:cs="Times New Roman"/>
                <w:szCs w:val="20"/>
              </w:rPr>
            </w:pPr>
            <w:r w:rsidRPr="00D35DF0">
              <w:rPr>
                <w:rFonts w:cs="Times New Roman"/>
                <w:szCs w:val="20"/>
              </w:rPr>
              <w:t>Aktører som selger energirelaterte produkter i Norge</w:t>
            </w:r>
          </w:p>
        </w:tc>
      </w:tr>
      <w:tr w:rsidR="00746468" w14:paraId="0FF5591A" w14:textId="77777777" w:rsidTr="007B1F37">
        <w:tc>
          <w:tcPr>
            <w:tcW w:w="2689" w:type="dxa"/>
          </w:tcPr>
          <w:p w14:paraId="0FF55918" w14:textId="77777777" w:rsidR="00746468" w:rsidRPr="00EE329D" w:rsidRDefault="00746468" w:rsidP="00EC7F07">
            <w:pPr>
              <w:pStyle w:val="Brdtekst"/>
              <w:spacing w:after="0"/>
              <w:rPr>
                <w:i/>
              </w:rPr>
            </w:pPr>
            <w:r w:rsidRPr="00EE329D">
              <w:rPr>
                <w:i/>
              </w:rPr>
              <w:t>Tilsynsmetoder</w:t>
            </w:r>
          </w:p>
        </w:tc>
        <w:tc>
          <w:tcPr>
            <w:tcW w:w="6662" w:type="dxa"/>
          </w:tcPr>
          <w:p w14:paraId="0FF55919" w14:textId="77777777" w:rsidR="00746468" w:rsidRPr="00D35DF0" w:rsidRDefault="002C4828" w:rsidP="00EC7F07">
            <w:pPr>
              <w:pStyle w:val="Brdtekst"/>
              <w:rPr>
                <w:rFonts w:cs="Times New Roman"/>
                <w:szCs w:val="20"/>
              </w:rPr>
            </w:pPr>
            <w:r>
              <w:rPr>
                <w:rFonts w:cs="Times New Roman"/>
                <w:szCs w:val="20"/>
              </w:rPr>
              <w:t>Inspeksjoner/</w:t>
            </w:r>
            <w:r w:rsidR="00BF5598">
              <w:rPr>
                <w:rFonts w:cs="Times New Roman"/>
                <w:szCs w:val="20"/>
              </w:rPr>
              <w:t>b</w:t>
            </w:r>
            <w:r w:rsidR="00746468" w:rsidRPr="00D35DF0">
              <w:rPr>
                <w:rFonts w:cs="Times New Roman"/>
                <w:szCs w:val="20"/>
              </w:rPr>
              <w:t>utikkontroller</w:t>
            </w:r>
            <w:r w:rsidR="00BF5598">
              <w:rPr>
                <w:rFonts w:cs="Times New Roman"/>
                <w:szCs w:val="20"/>
              </w:rPr>
              <w:t xml:space="preserve">, kontroll med nettforhandlere og </w:t>
            </w:r>
            <w:r>
              <w:rPr>
                <w:rFonts w:cs="Times New Roman"/>
                <w:szCs w:val="20"/>
              </w:rPr>
              <w:t>kontroll med reklamemateriale</w:t>
            </w:r>
            <w:r w:rsidR="00BF5598">
              <w:rPr>
                <w:rFonts w:cs="Times New Roman"/>
                <w:szCs w:val="20"/>
              </w:rPr>
              <w:t xml:space="preserve"> </w:t>
            </w:r>
          </w:p>
        </w:tc>
      </w:tr>
    </w:tbl>
    <w:p w14:paraId="0FF5591B" w14:textId="77777777" w:rsidR="006B64D9" w:rsidRDefault="006B64D9"/>
    <w:tbl>
      <w:tblPr>
        <w:tblStyle w:val="Tabellrutenett"/>
        <w:tblW w:w="9351" w:type="dxa"/>
        <w:tblLook w:val="04A0" w:firstRow="1" w:lastRow="0" w:firstColumn="1" w:lastColumn="0" w:noHBand="0" w:noVBand="1"/>
      </w:tblPr>
      <w:tblGrid>
        <w:gridCol w:w="2689"/>
        <w:gridCol w:w="6662"/>
      </w:tblGrid>
      <w:tr w:rsidR="00746468" w14:paraId="0FF55920" w14:textId="77777777" w:rsidTr="007B1F37">
        <w:tc>
          <w:tcPr>
            <w:tcW w:w="2689" w:type="dxa"/>
            <w:shd w:val="clear" w:color="auto" w:fill="0D0D0D" w:themeFill="text1" w:themeFillTint="F2"/>
          </w:tcPr>
          <w:p w14:paraId="0FF5591C" w14:textId="77777777" w:rsidR="00746468" w:rsidRPr="004B3795" w:rsidRDefault="004B3795" w:rsidP="00EC7F07">
            <w:pPr>
              <w:pStyle w:val="Brdtekst"/>
              <w:spacing w:after="0"/>
              <w:rPr>
                <w:color w:val="FFFFFF" w:themeColor="background1"/>
              </w:rPr>
            </w:pPr>
            <w:r w:rsidRPr="004B3795">
              <w:rPr>
                <w:color w:val="FFFFFF" w:themeColor="background1"/>
              </w:rPr>
              <w:t>Økodesign av energirelaterte produkter</w:t>
            </w:r>
          </w:p>
        </w:tc>
        <w:tc>
          <w:tcPr>
            <w:tcW w:w="6662" w:type="dxa"/>
            <w:shd w:val="clear" w:color="auto" w:fill="0D0D0D" w:themeFill="text1" w:themeFillTint="F2"/>
          </w:tcPr>
          <w:p w14:paraId="0FF5591D" w14:textId="77777777" w:rsidR="004B3795" w:rsidRDefault="004B3795" w:rsidP="004B3795">
            <w:pPr>
              <w:pStyle w:val="Brdtekst"/>
              <w:spacing w:after="0"/>
              <w:rPr>
                <w:color w:val="FFFFFF" w:themeColor="background1"/>
              </w:rPr>
            </w:pPr>
            <w:r>
              <w:rPr>
                <w:color w:val="FFFFFF" w:themeColor="background1"/>
              </w:rPr>
              <w:t>Energiavdelingen –</w:t>
            </w:r>
          </w:p>
          <w:p w14:paraId="0FF5591E" w14:textId="77777777" w:rsidR="00746468" w:rsidRDefault="00A23040" w:rsidP="004B3795">
            <w:pPr>
              <w:pStyle w:val="Brdtekst"/>
              <w:spacing w:after="0"/>
              <w:rPr>
                <w:color w:val="FFFFFF" w:themeColor="background1"/>
              </w:rPr>
            </w:pPr>
            <w:r>
              <w:rPr>
                <w:color w:val="FFFFFF" w:themeColor="background1"/>
              </w:rPr>
              <w:t>seksjon</w:t>
            </w:r>
            <w:r w:rsidR="004B3795">
              <w:rPr>
                <w:color w:val="FFFFFF" w:themeColor="background1"/>
              </w:rPr>
              <w:t xml:space="preserve"> for virkemidler og internasjonale rammer</w:t>
            </w:r>
          </w:p>
          <w:p w14:paraId="0FF5591F" w14:textId="77777777" w:rsidR="004B3795" w:rsidRPr="00EE329D" w:rsidRDefault="004B3795" w:rsidP="004B3795">
            <w:pPr>
              <w:pStyle w:val="Brdtekst"/>
              <w:spacing w:after="0"/>
              <w:rPr>
                <w:color w:val="FFFFFF" w:themeColor="background1"/>
              </w:rPr>
            </w:pPr>
          </w:p>
        </w:tc>
      </w:tr>
      <w:tr w:rsidR="00746468" w14:paraId="0FF55923" w14:textId="77777777" w:rsidTr="007B1F37">
        <w:tc>
          <w:tcPr>
            <w:tcW w:w="2689" w:type="dxa"/>
          </w:tcPr>
          <w:p w14:paraId="0FF55921" w14:textId="77777777" w:rsidR="00746468" w:rsidRPr="00EE329D" w:rsidRDefault="00746468" w:rsidP="00EC7F07">
            <w:pPr>
              <w:pStyle w:val="Brdtekst"/>
              <w:spacing w:after="0"/>
              <w:rPr>
                <w:i/>
              </w:rPr>
            </w:pPr>
            <w:r w:rsidRPr="002B2D2D">
              <w:rPr>
                <w:i/>
              </w:rPr>
              <w:t>Tema</w:t>
            </w:r>
          </w:p>
        </w:tc>
        <w:tc>
          <w:tcPr>
            <w:tcW w:w="6662" w:type="dxa"/>
          </w:tcPr>
          <w:p w14:paraId="0FF55922" w14:textId="4328A31F" w:rsidR="00746468" w:rsidRPr="00D35DF0" w:rsidRDefault="00BF5598" w:rsidP="00CC3EB2">
            <w:pPr>
              <w:pStyle w:val="Brdtekst"/>
              <w:rPr>
                <w:rFonts w:cs="Times New Roman"/>
                <w:szCs w:val="20"/>
              </w:rPr>
            </w:pPr>
            <w:r>
              <w:rPr>
                <w:rFonts w:cs="Times New Roman"/>
                <w:szCs w:val="20"/>
              </w:rPr>
              <w:t>Kontroll med krav om samsvarserklæring</w:t>
            </w:r>
            <w:r w:rsidR="00C15798">
              <w:rPr>
                <w:rFonts w:cs="Times New Roman"/>
                <w:szCs w:val="20"/>
              </w:rPr>
              <w:t>. P</w:t>
            </w:r>
            <w:r w:rsidR="00C15798" w:rsidRPr="0091538D">
              <w:rPr>
                <w:rFonts w:cs="Times New Roman"/>
                <w:szCs w:val="20"/>
              </w:rPr>
              <w:t>rodukter som antas være mindre energieffektive enn påkrevd</w:t>
            </w:r>
            <w:r w:rsidR="00C15798">
              <w:rPr>
                <w:rFonts w:cs="Times New Roman"/>
                <w:szCs w:val="20"/>
              </w:rPr>
              <w:t>,</w:t>
            </w:r>
            <w:r w:rsidR="00C15798" w:rsidRPr="0091538D">
              <w:rPr>
                <w:rFonts w:cs="Times New Roman"/>
                <w:szCs w:val="20"/>
              </w:rPr>
              <w:t xml:space="preserve"> som gir ulike konkurransevilkår i markedet</w:t>
            </w:r>
            <w:r w:rsidR="00C15798">
              <w:rPr>
                <w:rFonts w:cs="Times New Roman"/>
                <w:szCs w:val="20"/>
              </w:rPr>
              <w:t>, og som</w:t>
            </w:r>
            <w:r w:rsidR="00C15798" w:rsidRPr="0091538D">
              <w:rPr>
                <w:rFonts w:cs="Times New Roman"/>
                <w:szCs w:val="20"/>
              </w:rPr>
              <w:t xml:space="preserve"> har stor markedsandel og stort energisparepotenisal</w:t>
            </w:r>
            <w:r w:rsidR="00C15798">
              <w:rPr>
                <w:rFonts w:cs="Times New Roman"/>
                <w:szCs w:val="20"/>
              </w:rPr>
              <w:t>.</w:t>
            </w:r>
          </w:p>
        </w:tc>
      </w:tr>
      <w:tr w:rsidR="00746468" w14:paraId="0FF5592A" w14:textId="77777777" w:rsidTr="007B1F37">
        <w:tc>
          <w:tcPr>
            <w:tcW w:w="2689" w:type="dxa"/>
          </w:tcPr>
          <w:p w14:paraId="0FF55928" w14:textId="77777777" w:rsidR="00746468" w:rsidRPr="00EE329D" w:rsidRDefault="00746468" w:rsidP="00EC7F07">
            <w:pPr>
              <w:pStyle w:val="Brdtekst"/>
              <w:spacing w:after="0"/>
              <w:rPr>
                <w:i/>
              </w:rPr>
            </w:pPr>
            <w:r w:rsidRPr="00EE329D">
              <w:rPr>
                <w:i/>
              </w:rPr>
              <w:t>Tilsynsobjekter</w:t>
            </w:r>
          </w:p>
        </w:tc>
        <w:tc>
          <w:tcPr>
            <w:tcW w:w="6662" w:type="dxa"/>
          </w:tcPr>
          <w:p w14:paraId="0FF55929" w14:textId="77777777" w:rsidR="00746468" w:rsidRPr="00D35DF0" w:rsidRDefault="00746468" w:rsidP="00EC7F07">
            <w:pPr>
              <w:pStyle w:val="Brdtekst"/>
              <w:rPr>
                <w:rFonts w:cs="Times New Roman"/>
                <w:szCs w:val="20"/>
              </w:rPr>
            </w:pPr>
            <w:r w:rsidRPr="00D35DF0">
              <w:rPr>
                <w:rFonts w:cs="Times New Roman"/>
                <w:szCs w:val="20"/>
              </w:rPr>
              <w:t xml:space="preserve">Produsenter </w:t>
            </w:r>
            <w:r w:rsidR="00A23040">
              <w:rPr>
                <w:rFonts w:cs="Times New Roman"/>
                <w:szCs w:val="20"/>
              </w:rPr>
              <w:t xml:space="preserve">og importører </w:t>
            </w:r>
            <w:r w:rsidRPr="00D35DF0">
              <w:rPr>
                <w:rFonts w:cs="Times New Roman"/>
                <w:szCs w:val="20"/>
              </w:rPr>
              <w:t>av energirelaterte produkter i Norge</w:t>
            </w:r>
          </w:p>
        </w:tc>
      </w:tr>
      <w:tr w:rsidR="00746468" w14:paraId="0FF5592D" w14:textId="77777777" w:rsidTr="007B1F37">
        <w:tc>
          <w:tcPr>
            <w:tcW w:w="2689" w:type="dxa"/>
          </w:tcPr>
          <w:p w14:paraId="0FF5592B" w14:textId="77777777" w:rsidR="00746468" w:rsidRPr="00EE329D" w:rsidRDefault="00746468" w:rsidP="00EC7F07">
            <w:pPr>
              <w:pStyle w:val="Brdtekst"/>
              <w:spacing w:after="0"/>
              <w:rPr>
                <w:i/>
              </w:rPr>
            </w:pPr>
            <w:r w:rsidRPr="00EE329D">
              <w:rPr>
                <w:i/>
              </w:rPr>
              <w:t>Tilsynsmetoder</w:t>
            </w:r>
          </w:p>
        </w:tc>
        <w:tc>
          <w:tcPr>
            <w:tcW w:w="6662" w:type="dxa"/>
          </w:tcPr>
          <w:p w14:paraId="0FF5592C" w14:textId="77777777" w:rsidR="00746468" w:rsidRPr="00D35DF0" w:rsidRDefault="002C4828" w:rsidP="00EC7F07">
            <w:pPr>
              <w:pStyle w:val="Brdtekst"/>
              <w:rPr>
                <w:rFonts w:cs="Times New Roman"/>
                <w:szCs w:val="20"/>
              </w:rPr>
            </w:pPr>
            <w:r>
              <w:rPr>
                <w:rFonts w:cs="Times New Roman"/>
                <w:szCs w:val="20"/>
              </w:rPr>
              <w:t>Spørreundersøkelser, skriftlig kontroll</w:t>
            </w:r>
          </w:p>
        </w:tc>
      </w:tr>
    </w:tbl>
    <w:p w14:paraId="0FF55930" w14:textId="77777777" w:rsidR="00AD622E" w:rsidRPr="00441E78" w:rsidRDefault="00AD622E" w:rsidP="00B02BF8">
      <w:pPr>
        <w:pStyle w:val="Brdtekst"/>
        <w:rPr>
          <w:rFonts w:ascii="Times New Roman" w:hAnsi="Times New Roman" w:cs="Times New Roman"/>
        </w:rPr>
      </w:pPr>
    </w:p>
    <w:p w14:paraId="0FF55931" w14:textId="77777777" w:rsidR="00C475EE" w:rsidRPr="00441E78" w:rsidRDefault="00C475EE" w:rsidP="00B02BF8">
      <w:pPr>
        <w:pStyle w:val="Brdtekst"/>
        <w:rPr>
          <w:rFonts w:ascii="Times New Roman" w:hAnsi="Times New Roman" w:cs="Times New Roman"/>
        </w:rPr>
      </w:pPr>
    </w:p>
    <w:sectPr w:rsidR="00C475EE" w:rsidRPr="00441E78" w:rsidSect="00A66C33">
      <w:headerReference w:type="default" r:id="rId8"/>
      <w:footerReference w:type="default" r:id="rId9"/>
      <w:headerReference w:type="first" r:id="rId10"/>
      <w:footerReference w:type="first" r:id="rId11"/>
      <w:pgSz w:w="11907" w:h="16840" w:code="9"/>
      <w:pgMar w:top="1701" w:right="1134" w:bottom="1418"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55934" w14:textId="77777777" w:rsidR="002B2D2D" w:rsidRDefault="002B2D2D">
      <w:r>
        <w:separator/>
      </w:r>
    </w:p>
  </w:endnote>
  <w:endnote w:type="continuationSeparator" w:id="0">
    <w:p w14:paraId="0FF55935" w14:textId="77777777" w:rsidR="002B2D2D" w:rsidRDefault="002B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593B" w14:textId="77777777" w:rsidR="002B2D2D" w:rsidRDefault="002B2D2D" w:rsidP="00591C94">
    <w:pPr>
      <w:pStyle w:val="Bunntekst"/>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43" w14:textId="77777777" w:rsidTr="00EC7F07">
      <w:trPr>
        <w:jc w:val="center"/>
      </w:trPr>
      <w:tc>
        <w:tcPr>
          <w:tcW w:w="2360" w:type="dxa"/>
        </w:tcPr>
        <w:p w14:paraId="0FF5593C"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3D"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3E"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3F"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40"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20"/>
              <w:szCs w:val="20"/>
            </w:rPr>
            <w:id w:val="1639612335"/>
            <w:docPartObj>
              <w:docPartGallery w:val="Page Numbers (Bottom of Page)"/>
              <w:docPartUnique/>
            </w:docPartObj>
          </w:sdtPr>
          <w:sdtEndPr/>
          <w:sdtContent>
            <w:sdt>
              <w:sdtPr>
                <w:rPr>
                  <w:sz w:val="20"/>
                  <w:szCs w:val="20"/>
                </w:rPr>
                <w:id w:val="-1400595811"/>
                <w:docPartObj>
                  <w:docPartGallery w:val="Page Numbers (Top of Page)"/>
                  <w:docPartUnique/>
                </w:docPartObj>
              </w:sdtPr>
              <w:sdtEndPr/>
              <w:sdtContent>
                <w:p w14:paraId="0FF55941" w14:textId="77777777" w:rsidR="002B2D2D" w:rsidRDefault="002B2D2D" w:rsidP="00C475EE">
                  <w:pPr>
                    <w:pStyle w:val="Bunntekst"/>
                    <w:jc w:val="center"/>
                    <w:rPr>
                      <w:sz w:val="20"/>
                      <w:szCs w:val="20"/>
                    </w:rPr>
                  </w:pPr>
                </w:p>
                <w:p w14:paraId="0FF55942"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BC4D7D">
                    <w:rPr>
                      <w:b/>
                      <w:bCs/>
                      <w:noProof/>
                      <w:sz w:val="18"/>
                      <w:szCs w:val="20"/>
                    </w:rPr>
                    <w:t>2</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BC4D7D">
                    <w:rPr>
                      <w:b/>
                      <w:bCs/>
                      <w:noProof/>
                      <w:sz w:val="18"/>
                      <w:szCs w:val="20"/>
                    </w:rPr>
                    <w:t>9</w:t>
                  </w:r>
                  <w:r w:rsidRPr="00A56A72">
                    <w:rPr>
                      <w:b/>
                      <w:bCs/>
                      <w:sz w:val="18"/>
                      <w:szCs w:val="20"/>
                    </w:rPr>
                    <w:fldChar w:fldCharType="end"/>
                  </w:r>
                </w:p>
              </w:sdtContent>
            </w:sdt>
          </w:sdtContent>
        </w:sdt>
      </w:tc>
    </w:tr>
    <w:tr w:rsidR="002B2D2D" w:rsidRPr="00441E78" w14:paraId="0FF5594A" w14:textId="77777777" w:rsidTr="00EC7F07">
      <w:trPr>
        <w:jc w:val="center"/>
      </w:trPr>
      <w:tc>
        <w:tcPr>
          <w:tcW w:w="2360" w:type="dxa"/>
        </w:tcPr>
        <w:p w14:paraId="0FF55944"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45"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yy-xxxx</w:t>
          </w:r>
        </w:p>
      </w:tc>
      <w:tc>
        <w:tcPr>
          <w:tcW w:w="1271" w:type="dxa"/>
        </w:tcPr>
        <w:p w14:paraId="0FF55946" w14:textId="77777777" w:rsidR="002B2D2D" w:rsidRPr="00441E78" w:rsidRDefault="002B2D2D" w:rsidP="00746468">
          <w:pPr>
            <w:pStyle w:val="Brdtekst"/>
            <w:spacing w:after="0"/>
            <w:rPr>
              <w:rFonts w:ascii="Times New Roman" w:hAnsi="Times New Roman" w:cs="Times New Roman"/>
              <w:sz w:val="20"/>
              <w:szCs w:val="20"/>
            </w:rPr>
          </w:pPr>
          <w:r>
            <w:rPr>
              <w:rFonts w:ascii="Times New Roman" w:hAnsi="Times New Roman" w:cs="Times New Roman"/>
              <w:sz w:val="20"/>
              <w:szCs w:val="20"/>
            </w:rPr>
            <w:t>16-103</w:t>
          </w:r>
        </w:p>
      </w:tc>
      <w:tc>
        <w:tcPr>
          <w:tcW w:w="1559" w:type="dxa"/>
        </w:tcPr>
        <w:p w14:paraId="0FF55947" w14:textId="44AA5910" w:rsidR="002B2D2D" w:rsidRPr="00441E78" w:rsidRDefault="002B2D2D" w:rsidP="007B1F37">
          <w:pPr>
            <w:pStyle w:val="Brdtekst"/>
            <w:spacing w:after="0"/>
            <w:rPr>
              <w:rFonts w:ascii="Times New Roman" w:hAnsi="Times New Roman" w:cs="Times New Roman"/>
              <w:sz w:val="20"/>
              <w:szCs w:val="20"/>
            </w:rPr>
          </w:pPr>
          <w:r>
            <w:rPr>
              <w:rFonts w:ascii="Times New Roman" w:hAnsi="Times New Roman" w:cs="Times New Roman"/>
              <w:sz w:val="20"/>
              <w:szCs w:val="20"/>
            </w:rPr>
            <w:t>17-00231</w:t>
          </w:r>
        </w:p>
      </w:tc>
      <w:tc>
        <w:tcPr>
          <w:tcW w:w="1701" w:type="dxa"/>
        </w:tcPr>
        <w:p w14:paraId="0FF55948" w14:textId="77777777" w:rsidR="002B2D2D" w:rsidRPr="00441E78" w:rsidRDefault="002B2D2D" w:rsidP="00746468">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49" w14:textId="77777777" w:rsidR="002B2D2D" w:rsidRPr="00441E78" w:rsidRDefault="002B2D2D" w:rsidP="00746468">
          <w:pPr>
            <w:pStyle w:val="Bunntekst"/>
            <w:jc w:val="right"/>
            <w:rPr>
              <w:rFonts w:ascii="Times New Roman" w:hAnsi="Times New Roman" w:cs="Times New Roman"/>
              <w:sz w:val="20"/>
              <w:szCs w:val="20"/>
            </w:rPr>
          </w:pPr>
        </w:p>
      </w:tc>
    </w:tr>
  </w:tbl>
  <w:p w14:paraId="0FF5594B" w14:textId="77777777" w:rsidR="002B2D2D" w:rsidRPr="00441E78" w:rsidRDefault="002B2D2D" w:rsidP="00A66C33">
    <w:pPr>
      <w:pStyle w:val="Bunntekst"/>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5976" w14:textId="77777777" w:rsidR="002B2D2D" w:rsidRDefault="002B2D2D" w:rsidP="00342B1D">
    <w:pPr>
      <w:pStyle w:val="Bunntekst"/>
      <w:tabs>
        <w:tab w:val="clear" w:pos="4536"/>
        <w:tab w:val="clear" w:pos="9072"/>
        <w:tab w:val="left" w:pos="1740"/>
      </w:tabs>
    </w:pPr>
  </w:p>
  <w:tbl>
    <w:tblPr>
      <w:tblStyle w:val="Tabellrutenett"/>
      <w:tblW w:w="9209" w:type="dxa"/>
      <w:jc w:val="center"/>
      <w:tblLayout w:type="fixed"/>
      <w:tblCellMar>
        <w:left w:w="57" w:type="dxa"/>
        <w:right w:w="57" w:type="dxa"/>
      </w:tblCellMar>
      <w:tblLook w:val="04A0" w:firstRow="1" w:lastRow="0" w:firstColumn="1" w:lastColumn="0" w:noHBand="0" w:noVBand="1"/>
    </w:tblPr>
    <w:tblGrid>
      <w:gridCol w:w="2360"/>
      <w:gridCol w:w="1184"/>
      <w:gridCol w:w="1271"/>
      <w:gridCol w:w="1559"/>
      <w:gridCol w:w="1701"/>
      <w:gridCol w:w="1134"/>
    </w:tblGrid>
    <w:tr w:rsidR="002B2D2D" w14:paraId="0FF5597E" w14:textId="77777777" w:rsidTr="00C475EE">
      <w:trPr>
        <w:jc w:val="center"/>
      </w:trPr>
      <w:tc>
        <w:tcPr>
          <w:tcW w:w="2360" w:type="dxa"/>
        </w:tcPr>
        <w:p w14:paraId="0FF55977"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Siste gyldige versjon:</w:t>
          </w:r>
        </w:p>
      </w:tc>
      <w:tc>
        <w:tcPr>
          <w:tcW w:w="1184" w:type="dxa"/>
        </w:tcPr>
        <w:p w14:paraId="0FF55978" w14:textId="77777777" w:rsidR="002B2D2D" w:rsidRPr="009534AE" w:rsidRDefault="002B2D2D" w:rsidP="00C475EE">
          <w:pPr>
            <w:pStyle w:val="Brdtekst"/>
            <w:spacing w:after="0"/>
            <w:rPr>
              <w:b/>
              <w:color w:val="808080" w:themeColor="background1" w:themeShade="80"/>
              <w:sz w:val="16"/>
            </w:rPr>
          </w:pPr>
          <w:r>
            <w:rPr>
              <w:b/>
              <w:color w:val="808080" w:themeColor="background1" w:themeShade="80"/>
              <w:sz w:val="16"/>
            </w:rPr>
            <w:t>Prosjektnr:</w:t>
          </w:r>
        </w:p>
      </w:tc>
      <w:tc>
        <w:tcPr>
          <w:tcW w:w="1271" w:type="dxa"/>
        </w:tcPr>
        <w:p w14:paraId="0FF55979"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Styringssaknr:</w:t>
          </w:r>
        </w:p>
      </w:tc>
      <w:tc>
        <w:tcPr>
          <w:tcW w:w="1559" w:type="dxa"/>
        </w:tcPr>
        <w:p w14:paraId="0FF5597A"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Styringsdoknr:</w:t>
          </w:r>
        </w:p>
      </w:tc>
      <w:tc>
        <w:tcPr>
          <w:tcW w:w="1701" w:type="dxa"/>
        </w:tcPr>
        <w:p w14:paraId="0FF5597B" w14:textId="77777777" w:rsidR="002B2D2D" w:rsidRPr="0081780D" w:rsidRDefault="002B2D2D" w:rsidP="00C475EE">
          <w:pPr>
            <w:pStyle w:val="Brdtekst"/>
            <w:spacing w:after="0"/>
            <w:rPr>
              <w:b/>
              <w:color w:val="808080" w:themeColor="background1" w:themeShade="80"/>
              <w:sz w:val="16"/>
            </w:rPr>
          </w:pPr>
          <w:r>
            <w:rPr>
              <w:b/>
              <w:color w:val="808080" w:themeColor="background1" w:themeShade="80"/>
              <w:sz w:val="16"/>
            </w:rPr>
            <w:t>Type mal:</w:t>
          </w:r>
        </w:p>
      </w:tc>
      <w:tc>
        <w:tcPr>
          <w:tcW w:w="1134" w:type="dxa"/>
          <w:vMerge w:val="restart"/>
        </w:tcPr>
        <w:sdt>
          <w:sdtPr>
            <w:rPr>
              <w:sz w:val="18"/>
              <w:szCs w:val="20"/>
            </w:rPr>
            <w:id w:val="-1050528670"/>
            <w:docPartObj>
              <w:docPartGallery w:val="Page Numbers (Bottom of Page)"/>
              <w:docPartUnique/>
            </w:docPartObj>
          </w:sdtPr>
          <w:sdtEndPr/>
          <w:sdtContent>
            <w:sdt>
              <w:sdtPr>
                <w:rPr>
                  <w:sz w:val="18"/>
                  <w:szCs w:val="20"/>
                </w:rPr>
                <w:id w:val="-343175231"/>
                <w:docPartObj>
                  <w:docPartGallery w:val="Page Numbers (Top of Page)"/>
                  <w:docPartUnique/>
                </w:docPartObj>
              </w:sdtPr>
              <w:sdtEndPr/>
              <w:sdtContent>
                <w:p w14:paraId="0FF5597C" w14:textId="77777777" w:rsidR="002B2D2D" w:rsidRPr="00A56A72" w:rsidRDefault="002B2D2D" w:rsidP="00C475EE">
                  <w:pPr>
                    <w:pStyle w:val="Bunntekst"/>
                    <w:jc w:val="center"/>
                    <w:rPr>
                      <w:sz w:val="18"/>
                      <w:szCs w:val="20"/>
                    </w:rPr>
                  </w:pPr>
                </w:p>
                <w:p w14:paraId="0FF5597D" w14:textId="77777777" w:rsidR="002B2D2D" w:rsidRPr="0056695C" w:rsidRDefault="002B2D2D" w:rsidP="00C475EE">
                  <w:pPr>
                    <w:pStyle w:val="Bunntekst"/>
                    <w:ind w:left="200" w:hanging="200"/>
                    <w:jc w:val="center"/>
                    <w:rPr>
                      <w:b/>
                      <w:sz w:val="16"/>
                    </w:rPr>
                  </w:pPr>
                  <w:r w:rsidRPr="00A56A72">
                    <w:rPr>
                      <w:sz w:val="18"/>
                      <w:szCs w:val="20"/>
                    </w:rPr>
                    <w:t xml:space="preserve">Side </w:t>
                  </w:r>
                  <w:r w:rsidRPr="00A56A72">
                    <w:rPr>
                      <w:b/>
                      <w:bCs/>
                      <w:sz w:val="18"/>
                      <w:szCs w:val="20"/>
                    </w:rPr>
                    <w:fldChar w:fldCharType="begin"/>
                  </w:r>
                  <w:r w:rsidRPr="00A56A72">
                    <w:rPr>
                      <w:b/>
                      <w:bCs/>
                      <w:sz w:val="18"/>
                      <w:szCs w:val="20"/>
                    </w:rPr>
                    <w:instrText>PAGE</w:instrText>
                  </w:r>
                  <w:r w:rsidRPr="00A56A72">
                    <w:rPr>
                      <w:b/>
                      <w:bCs/>
                      <w:sz w:val="18"/>
                      <w:szCs w:val="20"/>
                    </w:rPr>
                    <w:fldChar w:fldCharType="separate"/>
                  </w:r>
                  <w:r w:rsidR="00BC4D7D">
                    <w:rPr>
                      <w:b/>
                      <w:bCs/>
                      <w:noProof/>
                      <w:sz w:val="18"/>
                      <w:szCs w:val="20"/>
                    </w:rPr>
                    <w:t>1</w:t>
                  </w:r>
                  <w:r w:rsidRPr="00A56A72">
                    <w:rPr>
                      <w:b/>
                      <w:bCs/>
                      <w:sz w:val="18"/>
                      <w:szCs w:val="20"/>
                    </w:rPr>
                    <w:fldChar w:fldCharType="end"/>
                  </w:r>
                  <w:r w:rsidRPr="00A56A72">
                    <w:rPr>
                      <w:sz w:val="18"/>
                      <w:szCs w:val="20"/>
                    </w:rPr>
                    <w:t xml:space="preserve"> av </w:t>
                  </w:r>
                  <w:r w:rsidRPr="00A56A72">
                    <w:rPr>
                      <w:b/>
                      <w:bCs/>
                      <w:sz w:val="18"/>
                      <w:szCs w:val="20"/>
                    </w:rPr>
                    <w:fldChar w:fldCharType="begin"/>
                  </w:r>
                  <w:r w:rsidRPr="00A56A72">
                    <w:rPr>
                      <w:b/>
                      <w:bCs/>
                      <w:sz w:val="18"/>
                      <w:szCs w:val="20"/>
                    </w:rPr>
                    <w:instrText>NUMPAGES</w:instrText>
                  </w:r>
                  <w:r w:rsidRPr="00A56A72">
                    <w:rPr>
                      <w:b/>
                      <w:bCs/>
                      <w:sz w:val="18"/>
                      <w:szCs w:val="20"/>
                    </w:rPr>
                    <w:fldChar w:fldCharType="separate"/>
                  </w:r>
                  <w:r w:rsidR="00BC4D7D">
                    <w:rPr>
                      <w:b/>
                      <w:bCs/>
                      <w:noProof/>
                      <w:sz w:val="18"/>
                      <w:szCs w:val="20"/>
                    </w:rPr>
                    <w:t>9</w:t>
                  </w:r>
                  <w:r w:rsidRPr="00A56A72">
                    <w:rPr>
                      <w:b/>
                      <w:bCs/>
                      <w:sz w:val="18"/>
                      <w:szCs w:val="20"/>
                    </w:rPr>
                    <w:fldChar w:fldCharType="end"/>
                  </w:r>
                </w:p>
              </w:sdtContent>
            </w:sdt>
          </w:sdtContent>
        </w:sdt>
      </w:tc>
    </w:tr>
    <w:tr w:rsidR="002B2D2D" w14:paraId="0FF55985" w14:textId="77777777" w:rsidTr="00C475EE">
      <w:trPr>
        <w:jc w:val="center"/>
      </w:trPr>
      <w:tc>
        <w:tcPr>
          <w:tcW w:w="2360" w:type="dxa"/>
        </w:tcPr>
        <w:p w14:paraId="0FF5597F"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Publisert på Magasinet</w:t>
          </w:r>
        </w:p>
      </w:tc>
      <w:tc>
        <w:tcPr>
          <w:tcW w:w="1184" w:type="dxa"/>
        </w:tcPr>
        <w:p w14:paraId="0FF55980"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yy-xxxx</w:t>
          </w:r>
        </w:p>
      </w:tc>
      <w:tc>
        <w:tcPr>
          <w:tcW w:w="1271" w:type="dxa"/>
        </w:tcPr>
        <w:p w14:paraId="0FF55981" w14:textId="77777777" w:rsidR="002B2D2D" w:rsidRPr="00441E78" w:rsidRDefault="002B2D2D" w:rsidP="00C475EE">
          <w:pPr>
            <w:pStyle w:val="Brdtekst"/>
            <w:spacing w:after="0"/>
            <w:rPr>
              <w:rFonts w:ascii="Times New Roman" w:hAnsi="Times New Roman" w:cs="Times New Roman"/>
              <w:sz w:val="20"/>
              <w:szCs w:val="20"/>
            </w:rPr>
          </w:pPr>
          <w:r>
            <w:rPr>
              <w:rFonts w:ascii="Times New Roman" w:hAnsi="Times New Roman" w:cs="Times New Roman"/>
              <w:sz w:val="20"/>
              <w:szCs w:val="20"/>
            </w:rPr>
            <w:t>16-103</w:t>
          </w:r>
        </w:p>
      </w:tc>
      <w:tc>
        <w:tcPr>
          <w:tcW w:w="1559" w:type="dxa"/>
        </w:tcPr>
        <w:p w14:paraId="0FF55982" w14:textId="3799459F" w:rsidR="002B2D2D" w:rsidRPr="00441E78" w:rsidRDefault="002B2D2D" w:rsidP="005B3BAD">
          <w:pPr>
            <w:pStyle w:val="Brdtekst"/>
            <w:spacing w:after="0"/>
            <w:rPr>
              <w:rFonts w:ascii="Times New Roman" w:hAnsi="Times New Roman" w:cs="Times New Roman"/>
              <w:sz w:val="20"/>
              <w:szCs w:val="20"/>
            </w:rPr>
          </w:pPr>
          <w:r>
            <w:rPr>
              <w:rFonts w:ascii="Times New Roman" w:hAnsi="Times New Roman" w:cs="Times New Roman"/>
              <w:sz w:val="20"/>
              <w:szCs w:val="20"/>
            </w:rPr>
            <w:t>17-00231</w:t>
          </w:r>
        </w:p>
      </w:tc>
      <w:tc>
        <w:tcPr>
          <w:tcW w:w="1701" w:type="dxa"/>
        </w:tcPr>
        <w:p w14:paraId="0FF55983" w14:textId="77777777" w:rsidR="002B2D2D" w:rsidRPr="00441E78" w:rsidRDefault="002B2D2D" w:rsidP="00C475EE">
          <w:pPr>
            <w:pStyle w:val="Brdtekst"/>
            <w:spacing w:after="0"/>
            <w:rPr>
              <w:rFonts w:ascii="Times New Roman" w:hAnsi="Times New Roman" w:cs="Times New Roman"/>
              <w:sz w:val="20"/>
              <w:szCs w:val="20"/>
            </w:rPr>
          </w:pPr>
          <w:r w:rsidRPr="00441E78">
            <w:rPr>
              <w:rFonts w:ascii="Times New Roman" w:hAnsi="Times New Roman" w:cs="Times New Roman"/>
              <w:sz w:val="20"/>
              <w:szCs w:val="20"/>
            </w:rPr>
            <w:t>Styringsdokument</w:t>
          </w:r>
        </w:p>
      </w:tc>
      <w:tc>
        <w:tcPr>
          <w:tcW w:w="1134" w:type="dxa"/>
          <w:vMerge/>
        </w:tcPr>
        <w:p w14:paraId="0FF55984" w14:textId="77777777" w:rsidR="002B2D2D" w:rsidRPr="00C51209" w:rsidRDefault="002B2D2D" w:rsidP="00C475EE">
          <w:pPr>
            <w:pStyle w:val="Bunntekst"/>
            <w:jc w:val="right"/>
            <w:rPr>
              <w:sz w:val="20"/>
              <w:szCs w:val="20"/>
            </w:rPr>
          </w:pPr>
        </w:p>
      </w:tc>
    </w:tr>
  </w:tbl>
  <w:p w14:paraId="0FF55986" w14:textId="77777777" w:rsidR="002B2D2D" w:rsidRDefault="002B2D2D" w:rsidP="00342B1D">
    <w:pPr>
      <w:pStyle w:val="Bunntekst"/>
      <w:tabs>
        <w:tab w:val="clear" w:pos="4536"/>
        <w:tab w:val="clear" w:pos="9072"/>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55932" w14:textId="77777777" w:rsidR="002B2D2D" w:rsidRDefault="002B2D2D">
      <w:r>
        <w:separator/>
      </w:r>
    </w:p>
  </w:footnote>
  <w:footnote w:type="continuationSeparator" w:id="0">
    <w:p w14:paraId="0FF55933" w14:textId="77777777" w:rsidR="002B2D2D" w:rsidRDefault="002B2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20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5098"/>
      <w:gridCol w:w="1418"/>
      <w:gridCol w:w="2693"/>
    </w:tblGrid>
    <w:tr w:rsidR="002B2D2D" w14:paraId="0FF55939" w14:textId="77777777" w:rsidTr="00312540">
      <w:trPr>
        <w:jc w:val="center"/>
      </w:trPr>
      <w:tc>
        <w:tcPr>
          <w:tcW w:w="5098" w:type="dxa"/>
        </w:tcPr>
        <w:p w14:paraId="0FF55936" w14:textId="77777777" w:rsidR="002B2D2D" w:rsidRDefault="002B2D2D" w:rsidP="00C51209">
          <w:pPr>
            <w:pStyle w:val="Brdtekst"/>
            <w:spacing w:after="0"/>
          </w:pPr>
        </w:p>
      </w:tc>
      <w:tc>
        <w:tcPr>
          <w:tcW w:w="1418" w:type="dxa"/>
        </w:tcPr>
        <w:p w14:paraId="0FF55937" w14:textId="77777777" w:rsidR="002B2D2D" w:rsidRDefault="002B2D2D" w:rsidP="0056695C">
          <w:pPr>
            <w:pStyle w:val="Brdtekst"/>
          </w:pPr>
          <w:r w:rsidRPr="00312540">
            <w:rPr>
              <w:color w:val="A6A6A6" w:themeColor="background1" w:themeShade="A6"/>
            </w:rPr>
            <w:t>Sakskategori:</w:t>
          </w:r>
        </w:p>
      </w:tc>
      <w:tc>
        <w:tcPr>
          <w:tcW w:w="2693" w:type="dxa"/>
          <w:shd w:val="clear" w:color="auto" w:fill="auto"/>
        </w:tcPr>
        <w:p w14:paraId="0FF55938" w14:textId="77777777" w:rsidR="002B2D2D" w:rsidRPr="00506300" w:rsidRDefault="002B2D2D" w:rsidP="0056695C">
          <w:pPr>
            <w:pStyle w:val="Brdtekst"/>
            <w:jc w:val="right"/>
            <w:rPr>
              <w:rFonts w:ascii="Arial" w:hAnsi="Arial" w:cs="Arial"/>
              <w:b/>
            </w:rPr>
          </w:pPr>
          <w:r>
            <w:rPr>
              <w:rFonts w:ascii="Arial" w:hAnsi="Arial" w:cs="Arial"/>
              <w:b/>
            </w:rPr>
            <w:t>Rammedokument</w:t>
          </w:r>
        </w:p>
      </w:tc>
    </w:tr>
  </w:tbl>
  <w:p w14:paraId="0FF5593A" w14:textId="77777777" w:rsidR="002B2D2D" w:rsidRPr="00764F4B" w:rsidRDefault="002B2D2D" w:rsidP="00764F4B">
    <w:pPr>
      <w:pStyle w:val="Topptekst"/>
      <w:rPr>
        <w:color w:val="A6A6A6" w:themeColor="background1" w:themeShade="A6"/>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enett"/>
      <w:tblW w:w="935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2267"/>
      <w:gridCol w:w="1839"/>
      <w:gridCol w:w="1985"/>
      <w:gridCol w:w="3260"/>
    </w:tblGrid>
    <w:tr w:rsidR="002B2D2D" w14:paraId="0FF5594F" w14:textId="77777777" w:rsidTr="008F205A">
      <w:trPr>
        <w:jc w:val="center"/>
      </w:trPr>
      <w:tc>
        <w:tcPr>
          <w:tcW w:w="2267" w:type="dxa"/>
          <w:vMerge w:val="restart"/>
        </w:tcPr>
        <w:p w14:paraId="0FF5594C" w14:textId="77777777" w:rsidR="002B2D2D" w:rsidRPr="00DC7AE7" w:rsidRDefault="002B2D2D" w:rsidP="00AD622E">
          <w:pPr>
            <w:pStyle w:val="Brdtekst"/>
            <w:spacing w:after="0"/>
            <w:ind w:left="-62"/>
            <w:rPr>
              <w:noProof/>
            </w:rPr>
          </w:pPr>
          <w:r w:rsidRPr="00DC7AE7">
            <w:rPr>
              <w:noProof/>
            </w:rPr>
            <w:drawing>
              <wp:inline distT="0" distB="0" distL="0" distR="0" wp14:anchorId="0FF55987" wp14:editId="0FF55988">
                <wp:extent cx="1266825" cy="598239"/>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cstate="print"/>
                        <a:srcRect/>
                        <a:stretch>
                          <a:fillRect/>
                        </a:stretch>
                      </pic:blipFill>
                      <pic:spPr bwMode="auto">
                        <a:xfrm>
                          <a:off x="0" y="0"/>
                          <a:ext cx="1266833" cy="598243"/>
                        </a:xfrm>
                        <a:prstGeom prst="rect">
                          <a:avLst/>
                        </a:prstGeom>
                        <a:noFill/>
                        <a:ln w="9525">
                          <a:noFill/>
                          <a:miter lim="800000"/>
                          <a:headEnd/>
                          <a:tailEnd/>
                        </a:ln>
                      </pic:spPr>
                    </pic:pic>
                  </a:graphicData>
                </a:graphic>
              </wp:inline>
            </w:drawing>
          </w:r>
        </w:p>
      </w:tc>
      <w:tc>
        <w:tcPr>
          <w:tcW w:w="1839" w:type="dxa"/>
          <w:vMerge w:val="restart"/>
        </w:tcPr>
        <w:p w14:paraId="0FF5594D" w14:textId="77777777" w:rsidR="002B2D2D" w:rsidRDefault="002B2D2D" w:rsidP="00AD622E">
          <w:pPr>
            <w:pStyle w:val="Brdtekst"/>
          </w:pPr>
        </w:p>
      </w:tc>
      <w:tc>
        <w:tcPr>
          <w:tcW w:w="5245" w:type="dxa"/>
          <w:gridSpan w:val="2"/>
        </w:tcPr>
        <w:p w14:paraId="0FF5594E" w14:textId="77777777" w:rsidR="002B2D2D" w:rsidRPr="00C24B09" w:rsidRDefault="002B2D2D" w:rsidP="004F0935">
          <w:pPr>
            <w:pStyle w:val="Brdtekst"/>
            <w:spacing w:after="0"/>
            <w:ind w:left="1004" w:hanging="1004"/>
            <w:jc w:val="right"/>
            <w:rPr>
              <w:rFonts w:ascii="Arial" w:hAnsi="Arial" w:cs="Arial"/>
              <w:b/>
            </w:rPr>
          </w:pPr>
          <w:r>
            <w:rPr>
              <w:rFonts w:ascii="Arial" w:hAnsi="Arial" w:cs="Arial"/>
              <w:b/>
              <w:sz w:val="24"/>
            </w:rPr>
            <w:t xml:space="preserve">Et dokument i NVEs </w:t>
          </w:r>
          <w:r w:rsidRPr="000B648A">
            <w:rPr>
              <w:rFonts w:ascii="Arial" w:hAnsi="Arial" w:cs="Arial"/>
              <w:b/>
              <w:sz w:val="24"/>
            </w:rPr>
            <w:t>KVALITETSSYSTEM</w:t>
          </w:r>
        </w:p>
      </w:tc>
    </w:tr>
    <w:tr w:rsidR="002B2D2D" w14:paraId="0FF55953" w14:textId="77777777" w:rsidTr="008F205A">
      <w:trPr>
        <w:jc w:val="center"/>
      </w:trPr>
      <w:tc>
        <w:tcPr>
          <w:tcW w:w="2267" w:type="dxa"/>
          <w:vMerge/>
        </w:tcPr>
        <w:p w14:paraId="0FF55950" w14:textId="77777777" w:rsidR="002B2D2D" w:rsidRDefault="002B2D2D" w:rsidP="00AD622E">
          <w:pPr>
            <w:pStyle w:val="Brdtekst"/>
            <w:spacing w:after="0"/>
            <w:ind w:left="-62"/>
          </w:pPr>
        </w:p>
      </w:tc>
      <w:tc>
        <w:tcPr>
          <w:tcW w:w="1839" w:type="dxa"/>
          <w:vMerge/>
        </w:tcPr>
        <w:p w14:paraId="0FF55951" w14:textId="77777777" w:rsidR="002B2D2D" w:rsidRDefault="002B2D2D" w:rsidP="00AD622E">
          <w:pPr>
            <w:pStyle w:val="Brdtekst"/>
          </w:pPr>
        </w:p>
      </w:tc>
      <w:tc>
        <w:tcPr>
          <w:tcW w:w="5245" w:type="dxa"/>
          <w:gridSpan w:val="2"/>
        </w:tcPr>
        <w:p w14:paraId="0FF55952" w14:textId="77777777" w:rsidR="002B2D2D" w:rsidRPr="004F0935" w:rsidRDefault="002B2D2D" w:rsidP="00C8696A">
          <w:pPr>
            <w:pStyle w:val="Brdtekst"/>
            <w:spacing w:after="0"/>
            <w:jc w:val="right"/>
            <w:rPr>
              <w:rFonts w:ascii="Arial" w:hAnsi="Arial" w:cs="Arial"/>
            </w:rPr>
          </w:pPr>
          <w:r w:rsidRPr="004F0935">
            <w:rPr>
              <w:rFonts w:ascii="Arial" w:hAnsi="Arial" w:cs="Arial"/>
            </w:rPr>
            <w:t>STYRINGSDOKUMENT</w:t>
          </w:r>
        </w:p>
      </w:tc>
    </w:tr>
    <w:tr w:rsidR="002B2D2D" w14:paraId="0FF55958" w14:textId="77777777" w:rsidTr="008F205A">
      <w:trPr>
        <w:jc w:val="center"/>
      </w:trPr>
      <w:tc>
        <w:tcPr>
          <w:tcW w:w="2267" w:type="dxa"/>
          <w:vMerge/>
        </w:tcPr>
        <w:p w14:paraId="0FF55954" w14:textId="77777777" w:rsidR="002B2D2D" w:rsidRDefault="002B2D2D" w:rsidP="00AD622E">
          <w:pPr>
            <w:pStyle w:val="Brdtekst"/>
            <w:spacing w:after="0"/>
          </w:pPr>
        </w:p>
      </w:tc>
      <w:tc>
        <w:tcPr>
          <w:tcW w:w="1839" w:type="dxa"/>
          <w:vMerge/>
        </w:tcPr>
        <w:p w14:paraId="0FF55955" w14:textId="77777777" w:rsidR="002B2D2D" w:rsidRDefault="002B2D2D" w:rsidP="00AD622E">
          <w:pPr>
            <w:pStyle w:val="Brdtekst"/>
            <w:spacing w:after="0"/>
          </w:pPr>
        </w:p>
      </w:tc>
      <w:tc>
        <w:tcPr>
          <w:tcW w:w="1985" w:type="dxa"/>
        </w:tcPr>
        <w:p w14:paraId="0FF55956"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Sakskategori:</w:t>
          </w:r>
        </w:p>
      </w:tc>
      <w:tc>
        <w:tcPr>
          <w:tcW w:w="3260" w:type="dxa"/>
          <w:shd w:val="clear" w:color="auto" w:fill="auto"/>
        </w:tcPr>
        <w:p w14:paraId="0FF55957"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Rammedokument</w:t>
          </w:r>
        </w:p>
      </w:tc>
    </w:tr>
    <w:tr w:rsidR="002B2D2D" w14:paraId="0FF5595D" w14:textId="77777777" w:rsidTr="008F205A">
      <w:trPr>
        <w:jc w:val="center"/>
      </w:trPr>
      <w:tc>
        <w:tcPr>
          <w:tcW w:w="2267" w:type="dxa"/>
          <w:vMerge/>
        </w:tcPr>
        <w:p w14:paraId="0FF55959" w14:textId="77777777" w:rsidR="002B2D2D" w:rsidRDefault="002B2D2D" w:rsidP="00AD622E">
          <w:pPr>
            <w:pStyle w:val="Brdtekst"/>
            <w:spacing w:after="0"/>
          </w:pPr>
        </w:p>
      </w:tc>
      <w:tc>
        <w:tcPr>
          <w:tcW w:w="1839" w:type="dxa"/>
          <w:vMerge/>
        </w:tcPr>
        <w:p w14:paraId="0FF5595A" w14:textId="77777777" w:rsidR="002B2D2D" w:rsidRDefault="002B2D2D" w:rsidP="00AD622E">
          <w:pPr>
            <w:pStyle w:val="Brdtekst"/>
            <w:spacing w:after="0"/>
          </w:pPr>
        </w:p>
      </w:tc>
      <w:tc>
        <w:tcPr>
          <w:tcW w:w="1985" w:type="dxa"/>
        </w:tcPr>
        <w:p w14:paraId="0FF5595B" w14:textId="77777777" w:rsidR="002B2D2D" w:rsidRPr="00441E78" w:rsidRDefault="002B2D2D" w:rsidP="00937E0F">
          <w:pPr>
            <w:pStyle w:val="Brdtekst"/>
            <w:spacing w:after="0"/>
            <w:rPr>
              <w:rFonts w:ascii="Times New Roman" w:hAnsi="Times New Roman" w:cs="Times New Roman"/>
              <w:b/>
            </w:rPr>
          </w:pPr>
          <w:r w:rsidRPr="00441E78">
            <w:rPr>
              <w:rFonts w:ascii="Times New Roman" w:hAnsi="Times New Roman" w:cs="Times New Roman"/>
              <w:b/>
            </w:rPr>
            <w:t>Dokumentkategori:</w:t>
          </w:r>
        </w:p>
      </w:tc>
      <w:tc>
        <w:tcPr>
          <w:tcW w:w="3260" w:type="dxa"/>
          <w:shd w:val="clear" w:color="auto" w:fill="auto"/>
        </w:tcPr>
        <w:p w14:paraId="0FF5595C"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Føring/retningslinje</w:t>
          </w:r>
        </w:p>
      </w:tc>
    </w:tr>
    <w:tr w:rsidR="002B2D2D" w14:paraId="0FF55962" w14:textId="77777777" w:rsidTr="008F205A">
      <w:trPr>
        <w:jc w:val="center"/>
      </w:trPr>
      <w:tc>
        <w:tcPr>
          <w:tcW w:w="2267" w:type="dxa"/>
          <w:vMerge/>
        </w:tcPr>
        <w:p w14:paraId="0FF5595E" w14:textId="77777777" w:rsidR="002B2D2D" w:rsidRDefault="002B2D2D" w:rsidP="00AD622E">
          <w:pPr>
            <w:pStyle w:val="Brdtekst"/>
            <w:spacing w:after="0"/>
          </w:pPr>
        </w:p>
      </w:tc>
      <w:tc>
        <w:tcPr>
          <w:tcW w:w="1839" w:type="dxa"/>
          <w:vMerge/>
        </w:tcPr>
        <w:p w14:paraId="0FF5595F" w14:textId="77777777" w:rsidR="002B2D2D" w:rsidRDefault="002B2D2D" w:rsidP="00AD622E">
          <w:pPr>
            <w:pStyle w:val="Brdtekst"/>
            <w:spacing w:after="0"/>
          </w:pPr>
        </w:p>
      </w:tc>
      <w:tc>
        <w:tcPr>
          <w:tcW w:w="1985" w:type="dxa"/>
        </w:tcPr>
        <w:p w14:paraId="0FF55960" w14:textId="77777777" w:rsidR="002B2D2D" w:rsidRPr="00441E78" w:rsidRDefault="002B2D2D" w:rsidP="00AD622E">
          <w:pPr>
            <w:pStyle w:val="Brdtekst"/>
            <w:spacing w:after="0"/>
            <w:rPr>
              <w:rFonts w:ascii="Times New Roman" w:hAnsi="Times New Roman" w:cs="Times New Roman"/>
              <w:b/>
            </w:rPr>
          </w:pPr>
          <w:r w:rsidRPr="00441E78">
            <w:rPr>
              <w:rFonts w:ascii="Times New Roman" w:hAnsi="Times New Roman" w:cs="Times New Roman"/>
              <w:b/>
            </w:rPr>
            <w:t>Fagområde:</w:t>
          </w:r>
        </w:p>
      </w:tc>
      <w:tc>
        <w:tcPr>
          <w:tcW w:w="3260" w:type="dxa"/>
          <w:shd w:val="clear" w:color="auto" w:fill="auto"/>
        </w:tcPr>
        <w:p w14:paraId="0FF55961" w14:textId="77777777" w:rsidR="002B2D2D" w:rsidRPr="00441E78" w:rsidRDefault="002B2D2D" w:rsidP="00AD622E">
          <w:pPr>
            <w:pStyle w:val="Brdtekst"/>
            <w:spacing w:after="0"/>
            <w:rPr>
              <w:rFonts w:ascii="Times New Roman" w:hAnsi="Times New Roman" w:cs="Times New Roman"/>
            </w:rPr>
          </w:pPr>
          <w:r>
            <w:rPr>
              <w:rFonts w:ascii="Times New Roman" w:hAnsi="Times New Roman" w:cs="Times New Roman"/>
            </w:rPr>
            <w:t>Tilsyn</w:t>
          </w:r>
        </w:p>
      </w:tc>
    </w:tr>
    <w:tr w:rsidR="002B2D2D" w14:paraId="0FF55967" w14:textId="77777777" w:rsidTr="008F205A">
      <w:trPr>
        <w:jc w:val="center"/>
      </w:trPr>
      <w:tc>
        <w:tcPr>
          <w:tcW w:w="2267" w:type="dxa"/>
          <w:vMerge/>
        </w:tcPr>
        <w:p w14:paraId="0FF55963" w14:textId="77777777" w:rsidR="002B2D2D" w:rsidRDefault="002B2D2D" w:rsidP="00AD622E">
          <w:pPr>
            <w:pStyle w:val="Brdtekst"/>
            <w:spacing w:after="0"/>
          </w:pPr>
        </w:p>
      </w:tc>
      <w:tc>
        <w:tcPr>
          <w:tcW w:w="1839" w:type="dxa"/>
          <w:vMerge/>
        </w:tcPr>
        <w:p w14:paraId="0FF55964" w14:textId="77777777" w:rsidR="002B2D2D" w:rsidRDefault="002B2D2D" w:rsidP="00AD622E">
          <w:pPr>
            <w:pStyle w:val="Brdtekst"/>
            <w:spacing w:after="0"/>
          </w:pPr>
        </w:p>
      </w:tc>
      <w:tc>
        <w:tcPr>
          <w:tcW w:w="1985" w:type="dxa"/>
        </w:tcPr>
        <w:p w14:paraId="0FF55965"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dato</w:t>
          </w:r>
          <w:r w:rsidRPr="00441E78">
            <w:rPr>
              <w:rFonts w:ascii="Times New Roman" w:hAnsi="Times New Roman" w:cs="Times New Roman"/>
            </w:rPr>
            <w:t>:</w:t>
          </w:r>
        </w:p>
      </w:tc>
      <w:tc>
        <w:tcPr>
          <w:tcW w:w="3260" w:type="dxa"/>
          <w:shd w:val="clear" w:color="auto" w:fill="auto"/>
        </w:tcPr>
        <w:p w14:paraId="0FF55966" w14:textId="439270DD"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15.1.2018</w:t>
          </w:r>
        </w:p>
      </w:tc>
    </w:tr>
    <w:tr w:rsidR="002B2D2D" w14:paraId="0FF5596C" w14:textId="77777777" w:rsidTr="008F205A">
      <w:trPr>
        <w:trHeight w:val="250"/>
        <w:jc w:val="center"/>
      </w:trPr>
      <w:tc>
        <w:tcPr>
          <w:tcW w:w="2267" w:type="dxa"/>
          <w:vMerge/>
        </w:tcPr>
        <w:p w14:paraId="0FF55968" w14:textId="77777777" w:rsidR="002B2D2D" w:rsidRDefault="002B2D2D" w:rsidP="00AD622E">
          <w:pPr>
            <w:pStyle w:val="Brdtekst"/>
            <w:spacing w:after="0"/>
          </w:pPr>
        </w:p>
      </w:tc>
      <w:tc>
        <w:tcPr>
          <w:tcW w:w="1839" w:type="dxa"/>
          <w:vMerge/>
        </w:tcPr>
        <w:p w14:paraId="0FF55969" w14:textId="77777777" w:rsidR="002B2D2D" w:rsidRDefault="002B2D2D" w:rsidP="00AD622E">
          <w:pPr>
            <w:pStyle w:val="Brdtekst"/>
            <w:spacing w:after="0"/>
          </w:pPr>
        </w:p>
      </w:tc>
      <w:tc>
        <w:tcPr>
          <w:tcW w:w="1985" w:type="dxa"/>
        </w:tcPr>
        <w:p w14:paraId="0FF5596A" w14:textId="77777777" w:rsidR="002B2D2D" w:rsidRPr="00441E78" w:rsidRDefault="002B2D2D" w:rsidP="00AD622E">
          <w:pPr>
            <w:pStyle w:val="Brdtekst"/>
            <w:spacing w:after="0"/>
            <w:rPr>
              <w:rFonts w:ascii="Times New Roman" w:hAnsi="Times New Roman" w:cs="Times New Roman"/>
            </w:rPr>
          </w:pPr>
          <w:r w:rsidRPr="00441E78">
            <w:rPr>
              <w:rFonts w:ascii="Times New Roman" w:hAnsi="Times New Roman" w:cs="Times New Roman"/>
              <w:b/>
            </w:rPr>
            <w:t>Godkjent av:</w:t>
          </w:r>
        </w:p>
      </w:tc>
      <w:tc>
        <w:tcPr>
          <w:tcW w:w="3260" w:type="dxa"/>
          <w:shd w:val="clear" w:color="auto" w:fill="auto"/>
        </w:tcPr>
        <w:p w14:paraId="0FF5596B" w14:textId="45136767" w:rsidR="002B2D2D" w:rsidRPr="00441E78" w:rsidRDefault="001B67C7" w:rsidP="001B67C7">
          <w:pPr>
            <w:pStyle w:val="Brdtekst"/>
            <w:spacing w:after="0"/>
            <w:rPr>
              <w:rFonts w:ascii="Times New Roman" w:hAnsi="Times New Roman" w:cs="Times New Roman"/>
            </w:rPr>
          </w:pPr>
          <w:r>
            <w:rPr>
              <w:rFonts w:ascii="Times New Roman" w:hAnsi="Times New Roman" w:cs="Times New Roman"/>
            </w:rPr>
            <w:t>DM</w:t>
          </w:r>
        </w:p>
      </w:tc>
    </w:tr>
    <w:tr w:rsidR="002B2D2D" w14:paraId="0FF55971" w14:textId="77777777" w:rsidTr="008F205A">
      <w:trPr>
        <w:trHeight w:val="250"/>
        <w:jc w:val="center"/>
      </w:trPr>
      <w:tc>
        <w:tcPr>
          <w:tcW w:w="2267" w:type="dxa"/>
          <w:vMerge/>
        </w:tcPr>
        <w:p w14:paraId="0FF5596D" w14:textId="77777777" w:rsidR="002B2D2D" w:rsidRDefault="002B2D2D" w:rsidP="00AD622E">
          <w:pPr>
            <w:pStyle w:val="Brdtekst"/>
            <w:spacing w:after="0"/>
          </w:pPr>
        </w:p>
      </w:tc>
      <w:tc>
        <w:tcPr>
          <w:tcW w:w="1839" w:type="dxa"/>
          <w:vMerge/>
        </w:tcPr>
        <w:p w14:paraId="0FF5596E" w14:textId="77777777" w:rsidR="002B2D2D" w:rsidRDefault="002B2D2D" w:rsidP="00AD622E">
          <w:pPr>
            <w:pStyle w:val="Brdtekst"/>
            <w:spacing w:after="0"/>
          </w:pPr>
        </w:p>
      </w:tc>
      <w:tc>
        <w:tcPr>
          <w:tcW w:w="1985" w:type="dxa"/>
        </w:tcPr>
        <w:p w14:paraId="0FF5596F" w14:textId="77777777" w:rsidR="002B2D2D" w:rsidRPr="00441E78" w:rsidRDefault="002B2D2D" w:rsidP="00D52E32">
          <w:pPr>
            <w:pStyle w:val="Brdtekst"/>
            <w:spacing w:after="0"/>
            <w:rPr>
              <w:rFonts w:ascii="Times New Roman" w:hAnsi="Times New Roman" w:cs="Times New Roman"/>
              <w:b/>
            </w:rPr>
          </w:pPr>
          <w:r w:rsidRPr="00441E78">
            <w:rPr>
              <w:rFonts w:ascii="Times New Roman" w:hAnsi="Times New Roman" w:cs="Times New Roman"/>
              <w:b/>
            </w:rPr>
            <w:t>Utarbeidet av:</w:t>
          </w:r>
        </w:p>
      </w:tc>
      <w:tc>
        <w:tcPr>
          <w:tcW w:w="3260" w:type="dxa"/>
          <w:shd w:val="clear" w:color="auto" w:fill="auto"/>
        </w:tcPr>
        <w:p w14:paraId="0FF55970" w14:textId="693157D8" w:rsidR="002B2D2D" w:rsidRPr="00441E78" w:rsidRDefault="002B2D2D" w:rsidP="00746468">
          <w:pPr>
            <w:pStyle w:val="Brdtekst"/>
            <w:spacing w:after="0"/>
            <w:rPr>
              <w:rFonts w:ascii="Times New Roman" w:hAnsi="Times New Roman" w:cs="Times New Roman"/>
            </w:rPr>
          </w:pPr>
          <w:r>
            <w:rPr>
              <w:rFonts w:ascii="Times New Roman" w:hAnsi="Times New Roman" w:cs="Times New Roman"/>
            </w:rPr>
            <w:t>LBL</w:t>
          </w:r>
          <w:r>
            <w:rPr>
              <w:rFonts w:ascii="Times New Roman" w:hAnsi="Times New Roman" w:cs="Times New Roman"/>
            </w:rPr>
            <w:softHyphen/>
          </w:r>
          <w:r w:rsidRPr="00441E78">
            <w:rPr>
              <w:rFonts w:ascii="Times New Roman" w:hAnsi="Times New Roman" w:cs="Times New Roman"/>
            </w:rPr>
            <w:t>/</w:t>
          </w:r>
          <w:r>
            <w:rPr>
              <w:rFonts w:ascii="Times New Roman" w:hAnsi="Times New Roman" w:cs="Times New Roman"/>
            </w:rPr>
            <w:t>TB</w:t>
          </w:r>
        </w:p>
      </w:tc>
    </w:tr>
    <w:tr w:rsidR="002B2D2D" w14:paraId="0FF55974" w14:textId="77777777" w:rsidTr="008F205A">
      <w:trPr>
        <w:jc w:val="center"/>
      </w:trPr>
      <w:tc>
        <w:tcPr>
          <w:tcW w:w="2267" w:type="dxa"/>
        </w:tcPr>
        <w:p w14:paraId="0FF55972" w14:textId="77777777" w:rsidR="002B2D2D" w:rsidRPr="00C62685" w:rsidRDefault="002B2D2D" w:rsidP="00AD622E">
          <w:pPr>
            <w:pStyle w:val="Brdtekst"/>
            <w:spacing w:after="0"/>
            <w:rPr>
              <w:rFonts w:ascii="Arial" w:hAnsi="Arial" w:cs="Arial"/>
              <w:b/>
              <w:sz w:val="36"/>
            </w:rPr>
          </w:pPr>
          <w:r w:rsidRPr="00C62685">
            <w:rPr>
              <w:rFonts w:ascii="Arial" w:hAnsi="Arial" w:cs="Arial"/>
              <w:b/>
              <w:sz w:val="32"/>
            </w:rPr>
            <w:t>Tema:</w:t>
          </w:r>
        </w:p>
      </w:tc>
      <w:tc>
        <w:tcPr>
          <w:tcW w:w="7084" w:type="dxa"/>
          <w:gridSpan w:val="3"/>
        </w:tcPr>
        <w:p w14:paraId="0FF55973" w14:textId="25997E63" w:rsidR="002B2D2D" w:rsidRPr="00C62685" w:rsidRDefault="002B2D2D" w:rsidP="007372E3">
          <w:pPr>
            <w:pStyle w:val="Brdtekst"/>
            <w:spacing w:after="0"/>
            <w:rPr>
              <w:rFonts w:ascii="Arial" w:hAnsi="Arial" w:cs="Arial"/>
              <w:b/>
              <w:sz w:val="36"/>
            </w:rPr>
          </w:pPr>
          <w:r>
            <w:rPr>
              <w:rFonts w:ascii="Arial" w:hAnsi="Arial" w:cs="Arial"/>
              <w:b/>
              <w:sz w:val="28"/>
            </w:rPr>
            <w:t>Handlingsplan for tilsyn 2018</w:t>
          </w:r>
        </w:p>
      </w:tc>
    </w:tr>
  </w:tbl>
  <w:p w14:paraId="0FF55975" w14:textId="77777777" w:rsidR="002B2D2D" w:rsidRDefault="002B2D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643B39"/>
    <w:multiLevelType w:val="hybridMultilevel"/>
    <w:tmpl w:val="54B64A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D5F55D5"/>
    <w:multiLevelType w:val="hybridMultilevel"/>
    <w:tmpl w:val="37AE63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0724F52"/>
    <w:multiLevelType w:val="hybridMultilevel"/>
    <w:tmpl w:val="942262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A10999"/>
    <w:multiLevelType w:val="hybridMultilevel"/>
    <w:tmpl w:val="24A6640E"/>
    <w:lvl w:ilvl="0" w:tplc="67E09CA6">
      <w:start w:val="1"/>
      <w:numFmt w:val="upperLetter"/>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6" w15:restartNumberingAfterBreak="0">
    <w:nsid w:val="392907E1"/>
    <w:multiLevelType w:val="hybridMultilevel"/>
    <w:tmpl w:val="CF5820C4"/>
    <w:lvl w:ilvl="0" w:tplc="7BA882B6">
      <w:start w:val="1"/>
      <w:numFmt w:val="bullet"/>
      <w:lvlText w:val="•"/>
      <w:lvlJc w:val="left"/>
      <w:pPr>
        <w:tabs>
          <w:tab w:val="num" w:pos="360"/>
        </w:tabs>
        <w:ind w:left="360" w:hanging="360"/>
      </w:pPr>
      <w:rPr>
        <w:rFonts w:ascii="Arial" w:hAnsi="Arial" w:hint="default"/>
      </w:rPr>
    </w:lvl>
    <w:lvl w:ilvl="1" w:tplc="1F207762">
      <w:start w:val="190"/>
      <w:numFmt w:val="bullet"/>
      <w:lvlText w:val="•"/>
      <w:lvlJc w:val="left"/>
      <w:pPr>
        <w:tabs>
          <w:tab w:val="num" w:pos="1080"/>
        </w:tabs>
        <w:ind w:left="1080" w:hanging="360"/>
      </w:pPr>
      <w:rPr>
        <w:rFonts w:ascii="Arial" w:hAnsi="Arial" w:hint="default"/>
      </w:rPr>
    </w:lvl>
    <w:lvl w:ilvl="2" w:tplc="8EA4D584" w:tentative="1">
      <w:start w:val="1"/>
      <w:numFmt w:val="bullet"/>
      <w:lvlText w:val="•"/>
      <w:lvlJc w:val="left"/>
      <w:pPr>
        <w:tabs>
          <w:tab w:val="num" w:pos="1800"/>
        </w:tabs>
        <w:ind w:left="1800" w:hanging="360"/>
      </w:pPr>
      <w:rPr>
        <w:rFonts w:ascii="Arial" w:hAnsi="Arial" w:hint="default"/>
      </w:rPr>
    </w:lvl>
    <w:lvl w:ilvl="3" w:tplc="B5D06D5E" w:tentative="1">
      <w:start w:val="1"/>
      <w:numFmt w:val="bullet"/>
      <w:lvlText w:val="•"/>
      <w:lvlJc w:val="left"/>
      <w:pPr>
        <w:tabs>
          <w:tab w:val="num" w:pos="2520"/>
        </w:tabs>
        <w:ind w:left="2520" w:hanging="360"/>
      </w:pPr>
      <w:rPr>
        <w:rFonts w:ascii="Arial" w:hAnsi="Arial" w:hint="default"/>
      </w:rPr>
    </w:lvl>
    <w:lvl w:ilvl="4" w:tplc="28B62138" w:tentative="1">
      <w:start w:val="1"/>
      <w:numFmt w:val="bullet"/>
      <w:lvlText w:val="•"/>
      <w:lvlJc w:val="left"/>
      <w:pPr>
        <w:tabs>
          <w:tab w:val="num" w:pos="3240"/>
        </w:tabs>
        <w:ind w:left="3240" w:hanging="360"/>
      </w:pPr>
      <w:rPr>
        <w:rFonts w:ascii="Arial" w:hAnsi="Arial" w:hint="default"/>
      </w:rPr>
    </w:lvl>
    <w:lvl w:ilvl="5" w:tplc="D9DEADA6" w:tentative="1">
      <w:start w:val="1"/>
      <w:numFmt w:val="bullet"/>
      <w:lvlText w:val="•"/>
      <w:lvlJc w:val="left"/>
      <w:pPr>
        <w:tabs>
          <w:tab w:val="num" w:pos="3960"/>
        </w:tabs>
        <w:ind w:left="3960" w:hanging="360"/>
      </w:pPr>
      <w:rPr>
        <w:rFonts w:ascii="Arial" w:hAnsi="Arial" w:hint="default"/>
      </w:rPr>
    </w:lvl>
    <w:lvl w:ilvl="6" w:tplc="26223AB4" w:tentative="1">
      <w:start w:val="1"/>
      <w:numFmt w:val="bullet"/>
      <w:lvlText w:val="•"/>
      <w:lvlJc w:val="left"/>
      <w:pPr>
        <w:tabs>
          <w:tab w:val="num" w:pos="4680"/>
        </w:tabs>
        <w:ind w:left="4680" w:hanging="360"/>
      </w:pPr>
      <w:rPr>
        <w:rFonts w:ascii="Arial" w:hAnsi="Arial" w:hint="default"/>
      </w:rPr>
    </w:lvl>
    <w:lvl w:ilvl="7" w:tplc="6E60FC3C" w:tentative="1">
      <w:start w:val="1"/>
      <w:numFmt w:val="bullet"/>
      <w:lvlText w:val="•"/>
      <w:lvlJc w:val="left"/>
      <w:pPr>
        <w:tabs>
          <w:tab w:val="num" w:pos="5400"/>
        </w:tabs>
        <w:ind w:left="5400" w:hanging="360"/>
      </w:pPr>
      <w:rPr>
        <w:rFonts w:ascii="Arial" w:hAnsi="Arial" w:hint="default"/>
      </w:rPr>
    </w:lvl>
    <w:lvl w:ilvl="8" w:tplc="248A3F8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8" w15:restartNumberingAfterBreak="0">
    <w:nsid w:val="469058B5"/>
    <w:multiLevelType w:val="hybridMultilevel"/>
    <w:tmpl w:val="8B4C8E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5D2639D2"/>
    <w:multiLevelType w:val="hybridMultilevel"/>
    <w:tmpl w:val="F1D2C6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50E1937"/>
    <w:multiLevelType w:val="hybridMultilevel"/>
    <w:tmpl w:val="FFB67C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495412"/>
    <w:multiLevelType w:val="hybridMultilevel"/>
    <w:tmpl w:val="D81C54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4A1058D"/>
    <w:multiLevelType w:val="hybridMultilevel"/>
    <w:tmpl w:val="1F4624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0"/>
  </w:num>
  <w:num w:numId="5">
    <w:abstractNumId w:val="5"/>
  </w:num>
  <w:num w:numId="6">
    <w:abstractNumId w:val="8"/>
  </w:num>
  <w:num w:numId="7">
    <w:abstractNumId w:val="3"/>
  </w:num>
  <w:num w:numId="8">
    <w:abstractNumId w:val="4"/>
  </w:num>
  <w:num w:numId="9">
    <w:abstractNumId w:val="11"/>
  </w:num>
  <w:num w:numId="10">
    <w:abstractNumId w:val="10"/>
  </w:num>
  <w:num w:numId="11">
    <w:abstractNumId w:val="9"/>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ctiveWritingStyle w:appName="MSWord" w:lang="nb-NO" w:vendorID="64" w:dllVersion="6" w:nlCheck="1" w:checkStyle="0"/>
  <w:activeWritingStyle w:appName="MSWord" w:lang="nb-NO"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F8"/>
    <w:rsid w:val="000159B8"/>
    <w:rsid w:val="0002602C"/>
    <w:rsid w:val="00042E9C"/>
    <w:rsid w:val="000478A3"/>
    <w:rsid w:val="000515C1"/>
    <w:rsid w:val="0005361E"/>
    <w:rsid w:val="000557D7"/>
    <w:rsid w:val="00075E8E"/>
    <w:rsid w:val="000877BA"/>
    <w:rsid w:val="00094524"/>
    <w:rsid w:val="000A7110"/>
    <w:rsid w:val="000B648A"/>
    <w:rsid w:val="000C035E"/>
    <w:rsid w:val="000C6111"/>
    <w:rsid w:val="000D012D"/>
    <w:rsid w:val="000E7078"/>
    <w:rsid w:val="0010172C"/>
    <w:rsid w:val="001163D5"/>
    <w:rsid w:val="00135392"/>
    <w:rsid w:val="00137637"/>
    <w:rsid w:val="00145FCF"/>
    <w:rsid w:val="00165B75"/>
    <w:rsid w:val="00193F06"/>
    <w:rsid w:val="0019636D"/>
    <w:rsid w:val="001A249A"/>
    <w:rsid w:val="001A62B2"/>
    <w:rsid w:val="001B67C7"/>
    <w:rsid w:val="001C671E"/>
    <w:rsid w:val="001D01DF"/>
    <w:rsid w:val="001D3E6F"/>
    <w:rsid w:val="001E62C9"/>
    <w:rsid w:val="001F0871"/>
    <w:rsid w:val="00205BBB"/>
    <w:rsid w:val="00211630"/>
    <w:rsid w:val="0021789F"/>
    <w:rsid w:val="002239D6"/>
    <w:rsid w:val="00240646"/>
    <w:rsid w:val="00261839"/>
    <w:rsid w:val="002823B3"/>
    <w:rsid w:val="002876BE"/>
    <w:rsid w:val="002B10DD"/>
    <w:rsid w:val="002B1D58"/>
    <w:rsid w:val="002B2D2D"/>
    <w:rsid w:val="002B50A3"/>
    <w:rsid w:val="002C1317"/>
    <w:rsid w:val="002C4828"/>
    <w:rsid w:val="002D32D6"/>
    <w:rsid w:val="002E42BD"/>
    <w:rsid w:val="002E59CF"/>
    <w:rsid w:val="002E7CD4"/>
    <w:rsid w:val="002F24C3"/>
    <w:rsid w:val="00312540"/>
    <w:rsid w:val="003138E5"/>
    <w:rsid w:val="00327A2B"/>
    <w:rsid w:val="0033435E"/>
    <w:rsid w:val="00336861"/>
    <w:rsid w:val="00340466"/>
    <w:rsid w:val="0034287D"/>
    <w:rsid w:val="00342B1D"/>
    <w:rsid w:val="003509C3"/>
    <w:rsid w:val="003873D0"/>
    <w:rsid w:val="00391BB3"/>
    <w:rsid w:val="003C19BE"/>
    <w:rsid w:val="003C757E"/>
    <w:rsid w:val="003D0C15"/>
    <w:rsid w:val="003D37C7"/>
    <w:rsid w:val="003D71B0"/>
    <w:rsid w:val="003F0770"/>
    <w:rsid w:val="00417C4A"/>
    <w:rsid w:val="00424054"/>
    <w:rsid w:val="00432BBD"/>
    <w:rsid w:val="00441E78"/>
    <w:rsid w:val="00455558"/>
    <w:rsid w:val="00467397"/>
    <w:rsid w:val="004777A3"/>
    <w:rsid w:val="00480644"/>
    <w:rsid w:val="004A1B13"/>
    <w:rsid w:val="004A2E87"/>
    <w:rsid w:val="004B0E3E"/>
    <w:rsid w:val="004B3795"/>
    <w:rsid w:val="004B3CDD"/>
    <w:rsid w:val="004D4CDB"/>
    <w:rsid w:val="004D5F55"/>
    <w:rsid w:val="004E4A79"/>
    <w:rsid w:val="004E762F"/>
    <w:rsid w:val="004F0935"/>
    <w:rsid w:val="00506300"/>
    <w:rsid w:val="005101EE"/>
    <w:rsid w:val="0051197D"/>
    <w:rsid w:val="005165BC"/>
    <w:rsid w:val="00520FB9"/>
    <w:rsid w:val="00532D50"/>
    <w:rsid w:val="0053397E"/>
    <w:rsid w:val="00543ED9"/>
    <w:rsid w:val="00555461"/>
    <w:rsid w:val="005664D2"/>
    <w:rsid w:val="0056695C"/>
    <w:rsid w:val="0057256F"/>
    <w:rsid w:val="00591C94"/>
    <w:rsid w:val="005A4CA5"/>
    <w:rsid w:val="005B3BAD"/>
    <w:rsid w:val="005C02AE"/>
    <w:rsid w:val="005F4AEE"/>
    <w:rsid w:val="0060791B"/>
    <w:rsid w:val="00611CFD"/>
    <w:rsid w:val="006345FF"/>
    <w:rsid w:val="00636D3F"/>
    <w:rsid w:val="006403E0"/>
    <w:rsid w:val="00663359"/>
    <w:rsid w:val="006677E8"/>
    <w:rsid w:val="00670FBA"/>
    <w:rsid w:val="00671D70"/>
    <w:rsid w:val="006729F7"/>
    <w:rsid w:val="006764E3"/>
    <w:rsid w:val="00690512"/>
    <w:rsid w:val="00695D82"/>
    <w:rsid w:val="006B04BF"/>
    <w:rsid w:val="006B64D9"/>
    <w:rsid w:val="006C256C"/>
    <w:rsid w:val="006E0F47"/>
    <w:rsid w:val="00725165"/>
    <w:rsid w:val="00731D88"/>
    <w:rsid w:val="00733DD8"/>
    <w:rsid w:val="00736A73"/>
    <w:rsid w:val="007372E3"/>
    <w:rsid w:val="00742316"/>
    <w:rsid w:val="00746468"/>
    <w:rsid w:val="0075572C"/>
    <w:rsid w:val="00757376"/>
    <w:rsid w:val="00757686"/>
    <w:rsid w:val="0076191B"/>
    <w:rsid w:val="00764F4B"/>
    <w:rsid w:val="00771F0E"/>
    <w:rsid w:val="00772CF3"/>
    <w:rsid w:val="00773DBB"/>
    <w:rsid w:val="00781093"/>
    <w:rsid w:val="00786B78"/>
    <w:rsid w:val="00791308"/>
    <w:rsid w:val="007922F5"/>
    <w:rsid w:val="00793C5C"/>
    <w:rsid w:val="0079452E"/>
    <w:rsid w:val="00796A82"/>
    <w:rsid w:val="00797819"/>
    <w:rsid w:val="007B1F37"/>
    <w:rsid w:val="007C32DE"/>
    <w:rsid w:val="007C44C3"/>
    <w:rsid w:val="00805C89"/>
    <w:rsid w:val="00814222"/>
    <w:rsid w:val="008273DE"/>
    <w:rsid w:val="008300BF"/>
    <w:rsid w:val="00832F04"/>
    <w:rsid w:val="0085078B"/>
    <w:rsid w:val="00855E87"/>
    <w:rsid w:val="00866451"/>
    <w:rsid w:val="00880BB3"/>
    <w:rsid w:val="00891F94"/>
    <w:rsid w:val="0089295B"/>
    <w:rsid w:val="00892FA0"/>
    <w:rsid w:val="008A3C47"/>
    <w:rsid w:val="008B47EB"/>
    <w:rsid w:val="008B6D7A"/>
    <w:rsid w:val="008D02D6"/>
    <w:rsid w:val="008D1004"/>
    <w:rsid w:val="008D132D"/>
    <w:rsid w:val="008D2CD9"/>
    <w:rsid w:val="008D6F28"/>
    <w:rsid w:val="008D75A6"/>
    <w:rsid w:val="008F059F"/>
    <w:rsid w:val="008F205A"/>
    <w:rsid w:val="008F63AD"/>
    <w:rsid w:val="008F76F6"/>
    <w:rsid w:val="00907129"/>
    <w:rsid w:val="00907ECC"/>
    <w:rsid w:val="009137BA"/>
    <w:rsid w:val="0091538D"/>
    <w:rsid w:val="00917C2E"/>
    <w:rsid w:val="00920A99"/>
    <w:rsid w:val="00927A4F"/>
    <w:rsid w:val="00937E0F"/>
    <w:rsid w:val="00945BAE"/>
    <w:rsid w:val="009534AE"/>
    <w:rsid w:val="00967341"/>
    <w:rsid w:val="0096766D"/>
    <w:rsid w:val="009723B7"/>
    <w:rsid w:val="00976300"/>
    <w:rsid w:val="009827C0"/>
    <w:rsid w:val="00985183"/>
    <w:rsid w:val="009852F0"/>
    <w:rsid w:val="009A742C"/>
    <w:rsid w:val="009B7591"/>
    <w:rsid w:val="009C4C64"/>
    <w:rsid w:val="009D1651"/>
    <w:rsid w:val="009D2951"/>
    <w:rsid w:val="009F7254"/>
    <w:rsid w:val="00A004C0"/>
    <w:rsid w:val="00A00BD4"/>
    <w:rsid w:val="00A038D4"/>
    <w:rsid w:val="00A23040"/>
    <w:rsid w:val="00A24658"/>
    <w:rsid w:val="00A26D5D"/>
    <w:rsid w:val="00A3473C"/>
    <w:rsid w:val="00A56A72"/>
    <w:rsid w:val="00A57173"/>
    <w:rsid w:val="00A66C33"/>
    <w:rsid w:val="00A72E77"/>
    <w:rsid w:val="00A8171D"/>
    <w:rsid w:val="00A85FFD"/>
    <w:rsid w:val="00A93045"/>
    <w:rsid w:val="00AC7B19"/>
    <w:rsid w:val="00AD622E"/>
    <w:rsid w:val="00AD6ACF"/>
    <w:rsid w:val="00AE212A"/>
    <w:rsid w:val="00AE334C"/>
    <w:rsid w:val="00AF598E"/>
    <w:rsid w:val="00B02BF8"/>
    <w:rsid w:val="00B046D2"/>
    <w:rsid w:val="00B04A1D"/>
    <w:rsid w:val="00B10E10"/>
    <w:rsid w:val="00B37D32"/>
    <w:rsid w:val="00B55C9A"/>
    <w:rsid w:val="00B64ED8"/>
    <w:rsid w:val="00B66C37"/>
    <w:rsid w:val="00B7254E"/>
    <w:rsid w:val="00B92039"/>
    <w:rsid w:val="00B94524"/>
    <w:rsid w:val="00BB1646"/>
    <w:rsid w:val="00BC4D7D"/>
    <w:rsid w:val="00BC4E41"/>
    <w:rsid w:val="00BC616D"/>
    <w:rsid w:val="00BD2B4E"/>
    <w:rsid w:val="00BD2F75"/>
    <w:rsid w:val="00BE3895"/>
    <w:rsid w:val="00BE7C6C"/>
    <w:rsid w:val="00BF46A5"/>
    <w:rsid w:val="00BF5598"/>
    <w:rsid w:val="00BF5790"/>
    <w:rsid w:val="00C00BBF"/>
    <w:rsid w:val="00C01144"/>
    <w:rsid w:val="00C019B7"/>
    <w:rsid w:val="00C02627"/>
    <w:rsid w:val="00C12F16"/>
    <w:rsid w:val="00C15798"/>
    <w:rsid w:val="00C15EF3"/>
    <w:rsid w:val="00C16A7A"/>
    <w:rsid w:val="00C24B09"/>
    <w:rsid w:val="00C32F9A"/>
    <w:rsid w:val="00C35266"/>
    <w:rsid w:val="00C360DE"/>
    <w:rsid w:val="00C37398"/>
    <w:rsid w:val="00C402EF"/>
    <w:rsid w:val="00C475EE"/>
    <w:rsid w:val="00C51209"/>
    <w:rsid w:val="00C530C7"/>
    <w:rsid w:val="00C55C39"/>
    <w:rsid w:val="00C62685"/>
    <w:rsid w:val="00C671DD"/>
    <w:rsid w:val="00C7541B"/>
    <w:rsid w:val="00C8347A"/>
    <w:rsid w:val="00C8696A"/>
    <w:rsid w:val="00C95A4B"/>
    <w:rsid w:val="00CA7FEC"/>
    <w:rsid w:val="00CB08A8"/>
    <w:rsid w:val="00CC3EB2"/>
    <w:rsid w:val="00CC730E"/>
    <w:rsid w:val="00CD0F69"/>
    <w:rsid w:val="00CF39C4"/>
    <w:rsid w:val="00D1430A"/>
    <w:rsid w:val="00D1606D"/>
    <w:rsid w:val="00D17ADC"/>
    <w:rsid w:val="00D236BC"/>
    <w:rsid w:val="00D24525"/>
    <w:rsid w:val="00D300DC"/>
    <w:rsid w:val="00D35ACD"/>
    <w:rsid w:val="00D52E32"/>
    <w:rsid w:val="00D55201"/>
    <w:rsid w:val="00D643A6"/>
    <w:rsid w:val="00D66260"/>
    <w:rsid w:val="00D66460"/>
    <w:rsid w:val="00D7036F"/>
    <w:rsid w:val="00D763B9"/>
    <w:rsid w:val="00D91F18"/>
    <w:rsid w:val="00DA48B0"/>
    <w:rsid w:val="00DB6469"/>
    <w:rsid w:val="00DC01F9"/>
    <w:rsid w:val="00DC0E59"/>
    <w:rsid w:val="00DC121B"/>
    <w:rsid w:val="00DD3542"/>
    <w:rsid w:val="00DF33B0"/>
    <w:rsid w:val="00E125E7"/>
    <w:rsid w:val="00E3018C"/>
    <w:rsid w:val="00E30E6D"/>
    <w:rsid w:val="00E34C31"/>
    <w:rsid w:val="00E427B4"/>
    <w:rsid w:val="00E451E0"/>
    <w:rsid w:val="00E8221C"/>
    <w:rsid w:val="00E90D35"/>
    <w:rsid w:val="00E970D5"/>
    <w:rsid w:val="00EA74B4"/>
    <w:rsid w:val="00EC648A"/>
    <w:rsid w:val="00EC7B3F"/>
    <w:rsid w:val="00EC7F07"/>
    <w:rsid w:val="00ED082E"/>
    <w:rsid w:val="00EE26D5"/>
    <w:rsid w:val="00EE364C"/>
    <w:rsid w:val="00F02167"/>
    <w:rsid w:val="00F20940"/>
    <w:rsid w:val="00F41326"/>
    <w:rsid w:val="00F47DE1"/>
    <w:rsid w:val="00F50E29"/>
    <w:rsid w:val="00F56D1C"/>
    <w:rsid w:val="00F917CA"/>
    <w:rsid w:val="00FB5B1D"/>
    <w:rsid w:val="00FC2F3E"/>
    <w:rsid w:val="00FD75DF"/>
    <w:rsid w:val="00FE52A9"/>
    <w:rsid w:val="00FF6C51"/>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6369"/>
    <o:shapelayout v:ext="edit">
      <o:idmap v:ext="edit" data="1"/>
    </o:shapelayout>
  </w:shapeDefaults>
  <w:decimalSymbol w:val=","/>
  <w:listSeparator w:val=";"/>
  <w14:docId w14:val="0FF55762"/>
  <w15:chartTrackingRefBased/>
  <w15:docId w15:val="{D4C22C2C-414B-40A8-8485-68CAD9C2E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Topptekst">
    <w:name w:val="header"/>
    <w:basedOn w:val="Normal"/>
    <w:link w:val="TopptekstTegn"/>
    <w:unhideWhenUsed/>
    <w:rsid w:val="00B02BF8"/>
    <w:pPr>
      <w:tabs>
        <w:tab w:val="center" w:pos="4536"/>
        <w:tab w:val="right" w:pos="9072"/>
      </w:tabs>
      <w:spacing w:line="240" w:lineRule="auto"/>
    </w:pPr>
  </w:style>
  <w:style w:type="character" w:customStyle="1" w:styleId="TopptekstTegn">
    <w:name w:val="Topptekst Tegn"/>
    <w:basedOn w:val="Standardskriftforavsnitt"/>
    <w:link w:val="Topptekst"/>
    <w:rsid w:val="00B02BF8"/>
    <w:rPr>
      <w:rFonts w:ascii="Times" w:hAnsi="Times" w:cs="Times"/>
    </w:rPr>
  </w:style>
  <w:style w:type="paragraph" w:styleId="Bunntekst">
    <w:name w:val="footer"/>
    <w:basedOn w:val="Normal"/>
    <w:link w:val="BunntekstTegn"/>
    <w:uiPriority w:val="99"/>
    <w:unhideWhenUsed/>
    <w:rsid w:val="00B02BF8"/>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02BF8"/>
    <w:rPr>
      <w:rFonts w:ascii="Times" w:hAnsi="Times" w:cs="Times"/>
    </w:rPr>
  </w:style>
  <w:style w:type="table" w:styleId="Tabellrutenett">
    <w:name w:val="Table Grid"/>
    <w:basedOn w:val="Vanligtabell"/>
    <w:rsid w:val="00B02BF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342B1D"/>
    <w:rPr>
      <w:rFonts w:ascii="Times" w:hAnsi="Times" w:cs="Times"/>
    </w:rPr>
  </w:style>
  <w:style w:type="paragraph" w:styleId="Bobletekst">
    <w:name w:val="Balloon Text"/>
    <w:basedOn w:val="Normal"/>
    <w:link w:val="BobletekstTegn"/>
    <w:semiHidden/>
    <w:unhideWhenUsed/>
    <w:rsid w:val="008F76F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semiHidden/>
    <w:rsid w:val="008F76F6"/>
    <w:rPr>
      <w:rFonts w:ascii="Segoe UI" w:hAnsi="Segoe UI" w:cs="Segoe UI"/>
      <w:sz w:val="18"/>
      <w:szCs w:val="18"/>
    </w:rPr>
  </w:style>
  <w:style w:type="table" w:customStyle="1" w:styleId="Tabellrutenett1">
    <w:name w:val="Tabellrutenett1"/>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Vanligtabell"/>
    <w:next w:val="Tabellrutenett"/>
    <w:rsid w:val="007372E3"/>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Vanligtabell"/>
    <w:next w:val="Tabellrutenett"/>
    <w:rsid w:val="00BD2F75"/>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5434">
      <w:bodyDiv w:val="1"/>
      <w:marLeft w:val="0"/>
      <w:marRight w:val="0"/>
      <w:marTop w:val="0"/>
      <w:marBottom w:val="0"/>
      <w:divBdr>
        <w:top w:val="none" w:sz="0" w:space="0" w:color="auto"/>
        <w:left w:val="none" w:sz="0" w:space="0" w:color="auto"/>
        <w:bottom w:val="none" w:sz="0" w:space="0" w:color="auto"/>
        <w:right w:val="none" w:sz="0" w:space="0" w:color="auto"/>
      </w:divBdr>
    </w:div>
    <w:div w:id="1043483899">
      <w:bodyDiv w:val="1"/>
      <w:marLeft w:val="0"/>
      <w:marRight w:val="0"/>
      <w:marTop w:val="0"/>
      <w:marBottom w:val="0"/>
      <w:divBdr>
        <w:top w:val="none" w:sz="0" w:space="0" w:color="auto"/>
        <w:left w:val="none" w:sz="0" w:space="0" w:color="auto"/>
        <w:bottom w:val="none" w:sz="0" w:space="0" w:color="auto"/>
        <w:right w:val="none" w:sz="0" w:space="0" w:color="auto"/>
      </w:divBdr>
    </w:div>
    <w:div w:id="10562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CA97E-D838-4FAA-81E8-BEAC2778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2325</Words>
  <Characters>12324</Characters>
  <Application>Microsoft Office Word</Application>
  <DocSecurity>0</DocSecurity>
  <Lines>102</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Krogsrud Hans Petter</dc:creator>
  <cp:keywords/>
  <dc:description/>
  <cp:lastModifiedBy>Hanne Nordang Solum</cp:lastModifiedBy>
  <cp:revision>2</cp:revision>
  <cp:lastPrinted>2018-01-10T12:09:00Z</cp:lastPrinted>
  <dcterms:created xsi:type="dcterms:W3CDTF">2020-01-03T09:12:00Z</dcterms:created>
  <dcterms:modified xsi:type="dcterms:W3CDTF">2020-01-03T09:12:00Z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p360</vt:lpwstr>
  </property>
  <property fmtid="{D5CDD505-2E9C-101B-9397-08002B2CF9AE}" pid="4" name="Protocol">
    <vt:lpwstr>off</vt:lpwstr>
  </property>
  <property fmtid="{D5CDD505-2E9C-101B-9397-08002B2CF9AE}" pid="5" name="Site">
    <vt:lpwstr>/view.aspx</vt:lpwstr>
  </property>
  <property fmtid="{D5CDD505-2E9C-101B-9397-08002B2CF9AE}" pid="6" name="FileID">
    <vt:lpwstr>2011684</vt:lpwstr>
  </property>
  <property fmtid="{D5CDD505-2E9C-101B-9397-08002B2CF9AE}" pid="7" name="VerID">
    <vt:lpwstr>0</vt:lpwstr>
  </property>
  <property fmtid="{D5CDD505-2E9C-101B-9397-08002B2CF9AE}" pid="8" name="FilePath">
    <vt:lpwstr>\\san2\p360vol01\users\work\nve\jwt</vt:lpwstr>
  </property>
  <property fmtid="{D5CDD505-2E9C-101B-9397-08002B2CF9AE}" pid="9" name="FileName">
    <vt:lpwstr>SD16-03226 Handlingsplan for tilsyn 2017 2011684_1205786_0.DOCX</vt:lpwstr>
  </property>
  <property fmtid="{D5CDD505-2E9C-101B-9397-08002B2CF9AE}" pid="10" name="FullFileName">
    <vt:lpwstr>\\san2\p360vol01\users\work\nve\jwt\SD16-03226 Handlingsplan for tilsyn 2017 2011684_1205786_0.DOCX</vt:lpwstr>
  </property>
  <property fmtid="{D5CDD505-2E9C-101B-9397-08002B2CF9AE}" pid="11" name="sipTrackRevision">
    <vt:lpwstr>false</vt:lpwstr>
  </property>
</Properties>
</file>