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F2EF" w14:textId="31BAFD73" w:rsidR="002C0EFA" w:rsidRDefault="00037509" w:rsidP="008871B2">
      <w:pPr>
        <w:pStyle w:val="Pagedecouverture"/>
      </w:pPr>
      <w:bookmarkStart w:id="0" w:name="LW_BM_COVERPAGE"/>
      <w:r>
        <w:pict w14:anchorId="29285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BA70CD7-C9EE-4E85-B480-A7E4D17C237E" style="width:455.4pt;height:380.4pt">
            <v:imagedata r:id="rId8" o:title=""/>
          </v:shape>
        </w:pict>
      </w:r>
    </w:p>
    <w:bookmarkEnd w:id="0"/>
    <w:p w14:paraId="211170F5" w14:textId="77777777" w:rsidR="002C0EFA" w:rsidRDefault="002C0EFA" w:rsidP="002C0EFA">
      <w:pPr>
        <w:sectPr w:rsidR="002C0EFA" w:rsidSect="008871B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CF95FC2" w14:textId="71B53895" w:rsidR="0067170D" w:rsidRDefault="0067170D" w:rsidP="007F6754">
      <w:pPr>
        <w:pStyle w:val="Heading1"/>
      </w:pPr>
      <w:bookmarkStart w:id="1" w:name="_Toc88562919"/>
      <w:bookmarkStart w:id="2" w:name="_Toc114836375"/>
      <w:r>
        <w:lastRenderedPageBreak/>
        <w:t>Executive summary</w:t>
      </w:r>
    </w:p>
    <w:p w14:paraId="2D402A60" w14:textId="7DD304BE" w:rsidR="0067170D" w:rsidRPr="0067170D" w:rsidRDefault="0067170D" w:rsidP="0067170D">
      <w:pPr>
        <w:jc w:val="both"/>
        <w:rPr>
          <w:rFonts w:ascii="Times New Roman" w:hAnsi="Times New Roman" w:cs="Times New Roman"/>
          <w:sz w:val="24"/>
          <w:szCs w:val="24"/>
        </w:rPr>
      </w:pPr>
      <w:r w:rsidRPr="0067170D">
        <w:rPr>
          <w:rFonts w:ascii="Times New Roman" w:hAnsi="Times New Roman" w:cs="Times New Roman"/>
          <w:sz w:val="24"/>
          <w:szCs w:val="24"/>
        </w:rPr>
        <w:t xml:space="preserve">Tumble dryers are </w:t>
      </w:r>
      <w:r w:rsidR="00FF5E9A">
        <w:rPr>
          <w:rFonts w:ascii="Times New Roman" w:hAnsi="Times New Roman" w:cs="Times New Roman"/>
          <w:sz w:val="24"/>
          <w:szCs w:val="24"/>
        </w:rPr>
        <w:t xml:space="preserve">a </w:t>
      </w:r>
      <w:r w:rsidRPr="0067170D">
        <w:rPr>
          <w:rFonts w:ascii="Times New Roman" w:hAnsi="Times New Roman" w:cs="Times New Roman"/>
          <w:sz w:val="24"/>
          <w:szCs w:val="24"/>
        </w:rPr>
        <w:t xml:space="preserve">popular </w:t>
      </w:r>
      <w:r w:rsidR="00FF5E9A">
        <w:rPr>
          <w:rFonts w:ascii="Times New Roman" w:hAnsi="Times New Roman" w:cs="Times New Roman"/>
          <w:sz w:val="24"/>
          <w:szCs w:val="24"/>
        </w:rPr>
        <w:t xml:space="preserve">appliance </w:t>
      </w:r>
      <w:r w:rsidRPr="0067170D">
        <w:rPr>
          <w:rFonts w:ascii="Times New Roman" w:hAnsi="Times New Roman" w:cs="Times New Roman"/>
          <w:sz w:val="24"/>
          <w:szCs w:val="24"/>
        </w:rPr>
        <w:t xml:space="preserve">in EU households. The market penetration of tumble dryers is increasing and expected to grow from 26% of EU households in 2020 to 35% in 2040. </w:t>
      </w:r>
      <w:r>
        <w:rPr>
          <w:rFonts w:ascii="Times New Roman" w:hAnsi="Times New Roman" w:cs="Times New Roman"/>
          <w:sz w:val="24"/>
          <w:szCs w:val="24"/>
        </w:rPr>
        <w:t>However, t</w:t>
      </w:r>
      <w:r w:rsidRPr="0067170D">
        <w:rPr>
          <w:rFonts w:ascii="Times New Roman" w:hAnsi="Times New Roman" w:cs="Times New Roman"/>
          <w:sz w:val="24"/>
          <w:szCs w:val="24"/>
        </w:rPr>
        <w:t xml:space="preserve">he </w:t>
      </w:r>
      <w:r w:rsidRPr="001C1199">
        <w:rPr>
          <w:rFonts w:ascii="Times New Roman" w:hAnsi="Times New Roman" w:cs="Times New Roman"/>
          <w:b/>
          <w:bCs/>
          <w:sz w:val="24"/>
          <w:szCs w:val="24"/>
        </w:rPr>
        <w:t>average lifetime of tumble dryers over the last decade has decreased from 14 to 12 years</w:t>
      </w:r>
      <w:r w:rsidRPr="0067170D">
        <w:rPr>
          <w:rFonts w:ascii="Times New Roman" w:hAnsi="Times New Roman" w:cs="Times New Roman"/>
          <w:sz w:val="24"/>
          <w:szCs w:val="24"/>
        </w:rPr>
        <w:t xml:space="preserve">, prompting an acceleration of production to compensate the shorter lifetime. This results in an </w:t>
      </w:r>
      <w:r w:rsidRPr="001C1199">
        <w:rPr>
          <w:rFonts w:ascii="Times New Roman" w:hAnsi="Times New Roman" w:cs="Times New Roman"/>
          <w:b/>
          <w:bCs/>
          <w:sz w:val="24"/>
          <w:szCs w:val="24"/>
        </w:rPr>
        <w:t xml:space="preserve">increase of energy and materials used for production and distribution, as well as higher costs </w:t>
      </w:r>
      <w:r w:rsidRPr="0067170D">
        <w:rPr>
          <w:rFonts w:ascii="Times New Roman" w:hAnsi="Times New Roman" w:cs="Times New Roman"/>
          <w:sz w:val="24"/>
          <w:szCs w:val="24"/>
        </w:rPr>
        <w:t xml:space="preserve">related to </w:t>
      </w:r>
      <w:r w:rsidR="0004023C">
        <w:rPr>
          <w:rFonts w:ascii="Times New Roman" w:hAnsi="Times New Roman" w:cs="Times New Roman"/>
          <w:sz w:val="24"/>
          <w:szCs w:val="24"/>
        </w:rPr>
        <w:t xml:space="preserve">replacements, </w:t>
      </w:r>
      <w:r w:rsidRPr="0067170D">
        <w:rPr>
          <w:rFonts w:ascii="Times New Roman" w:hAnsi="Times New Roman" w:cs="Times New Roman"/>
          <w:sz w:val="24"/>
          <w:szCs w:val="24"/>
        </w:rPr>
        <w:t xml:space="preserve">disposal and recycling. Quantitatively this </w:t>
      </w:r>
      <w:r w:rsidR="00FF5E9A">
        <w:rPr>
          <w:rFonts w:ascii="Times New Roman" w:hAnsi="Times New Roman" w:cs="Times New Roman"/>
          <w:sz w:val="24"/>
          <w:szCs w:val="24"/>
        </w:rPr>
        <w:t>gives</w:t>
      </w:r>
      <w:r w:rsidRPr="0067170D">
        <w:rPr>
          <w:rFonts w:ascii="Times New Roman" w:hAnsi="Times New Roman" w:cs="Times New Roman"/>
          <w:sz w:val="24"/>
          <w:szCs w:val="24"/>
        </w:rPr>
        <w:t>, by 2040, 9</w:t>
      </w:r>
      <w:r w:rsidR="001D7641">
        <w:rPr>
          <w:rFonts w:ascii="Times New Roman" w:hAnsi="Times New Roman" w:cs="Times New Roman"/>
          <w:sz w:val="24"/>
          <w:szCs w:val="24"/>
        </w:rPr>
        <w:t>,</w:t>
      </w:r>
      <w:r w:rsidRPr="0067170D">
        <w:rPr>
          <w:rFonts w:ascii="Times New Roman" w:hAnsi="Times New Roman" w:cs="Times New Roman"/>
          <w:sz w:val="24"/>
          <w:szCs w:val="24"/>
        </w:rPr>
        <w:t>7</w:t>
      </w:r>
      <w:r w:rsidR="001D7641">
        <w:rPr>
          <w:rFonts w:ascii="Times New Roman" w:hAnsi="Times New Roman" w:cs="Times New Roman"/>
          <w:sz w:val="24"/>
          <w:szCs w:val="24"/>
        </w:rPr>
        <w:t>20</w:t>
      </w:r>
      <w:r w:rsidRPr="0067170D">
        <w:rPr>
          <w:rFonts w:ascii="Times New Roman" w:hAnsi="Times New Roman" w:cs="Times New Roman"/>
          <w:sz w:val="24"/>
          <w:szCs w:val="24"/>
        </w:rPr>
        <w:t xml:space="preserve"> TJ (terajoules) additional energy consumption, 1</w:t>
      </w:r>
      <w:r w:rsidR="001C1199">
        <w:rPr>
          <w:rFonts w:ascii="Times New Roman" w:hAnsi="Times New Roman" w:cs="Times New Roman"/>
          <w:sz w:val="24"/>
          <w:szCs w:val="24"/>
        </w:rPr>
        <w:t>.</w:t>
      </w:r>
      <w:r w:rsidRPr="0067170D">
        <w:rPr>
          <w:rFonts w:ascii="Times New Roman" w:hAnsi="Times New Roman" w:cs="Times New Roman"/>
          <w:sz w:val="24"/>
          <w:szCs w:val="24"/>
        </w:rPr>
        <w:t xml:space="preserve">5 mtCO2e additional greenhouse gas emissions and 114 </w:t>
      </w:r>
      <w:r w:rsidR="0004023C">
        <w:rPr>
          <w:rFonts w:ascii="Times New Roman" w:hAnsi="Times New Roman" w:cs="Times New Roman"/>
          <w:sz w:val="24"/>
          <w:szCs w:val="24"/>
        </w:rPr>
        <w:t>k</w:t>
      </w:r>
      <w:r w:rsidR="001C1199">
        <w:rPr>
          <w:rFonts w:ascii="Times New Roman" w:hAnsi="Times New Roman" w:cs="Times New Roman"/>
          <w:sz w:val="24"/>
          <w:szCs w:val="24"/>
        </w:rPr>
        <w:t>ilotons</w:t>
      </w:r>
      <w:r w:rsidRPr="0067170D">
        <w:rPr>
          <w:rFonts w:ascii="Times New Roman" w:hAnsi="Times New Roman" w:cs="Times New Roman"/>
          <w:sz w:val="24"/>
          <w:szCs w:val="24"/>
        </w:rPr>
        <w:t xml:space="preserve"> extra waste.</w:t>
      </w:r>
    </w:p>
    <w:p w14:paraId="5048A104" w14:textId="1BC715EB" w:rsidR="0067170D" w:rsidRDefault="0067170D" w:rsidP="0067170D">
      <w:pPr>
        <w:jc w:val="both"/>
        <w:rPr>
          <w:rFonts w:ascii="Times New Roman" w:hAnsi="Times New Roman" w:cs="Times New Roman"/>
          <w:sz w:val="24"/>
          <w:szCs w:val="24"/>
        </w:rPr>
      </w:pPr>
      <w:r w:rsidRPr="0067170D">
        <w:rPr>
          <w:rFonts w:ascii="Times New Roman" w:hAnsi="Times New Roman" w:cs="Times New Roman"/>
          <w:sz w:val="24"/>
          <w:szCs w:val="24"/>
        </w:rPr>
        <w:t>Regulation (EU) 2023/</w:t>
      </w:r>
      <w:r w:rsidR="006B7601">
        <w:rPr>
          <w:rFonts w:ascii="Times New Roman" w:hAnsi="Times New Roman" w:cs="Times New Roman"/>
          <w:sz w:val="24"/>
          <w:szCs w:val="24"/>
        </w:rPr>
        <w:t>2533</w:t>
      </w:r>
      <w:r w:rsidR="007A330B">
        <w:rPr>
          <w:rStyle w:val="FootnoteReference"/>
          <w:rFonts w:ascii="Times New Roman" w:hAnsi="Times New Roman" w:cs="Times New Roman"/>
          <w:sz w:val="24"/>
          <w:szCs w:val="24"/>
        </w:rPr>
        <w:footnoteReference w:id="1"/>
      </w:r>
      <w:r w:rsidRPr="0067170D">
        <w:rPr>
          <w:rFonts w:ascii="Times New Roman" w:hAnsi="Times New Roman" w:cs="Times New Roman"/>
          <w:sz w:val="24"/>
          <w:szCs w:val="24"/>
        </w:rPr>
        <w:t xml:space="preserve"> already includes </w:t>
      </w:r>
      <w:r w:rsidR="00A63C66">
        <w:rPr>
          <w:rFonts w:ascii="Times New Roman" w:hAnsi="Times New Roman" w:cs="Times New Roman"/>
          <w:sz w:val="24"/>
          <w:szCs w:val="24"/>
        </w:rPr>
        <w:t xml:space="preserve">certain </w:t>
      </w:r>
      <w:r w:rsidRPr="0067170D">
        <w:rPr>
          <w:rFonts w:ascii="Times New Roman" w:hAnsi="Times New Roman" w:cs="Times New Roman"/>
          <w:sz w:val="24"/>
          <w:szCs w:val="24"/>
        </w:rPr>
        <w:t>circular economy measures</w:t>
      </w:r>
      <w:r w:rsidR="00FF5E9A">
        <w:rPr>
          <w:rFonts w:ascii="Times New Roman" w:hAnsi="Times New Roman" w:cs="Times New Roman"/>
          <w:sz w:val="24"/>
          <w:szCs w:val="24"/>
        </w:rPr>
        <w:t>,</w:t>
      </w:r>
      <w:r w:rsidRPr="0067170D">
        <w:rPr>
          <w:rFonts w:ascii="Times New Roman" w:hAnsi="Times New Roman" w:cs="Times New Roman"/>
          <w:sz w:val="24"/>
          <w:szCs w:val="24"/>
        </w:rPr>
        <w:t xml:space="preserve"> namely the mandatory availability of spare parts</w:t>
      </w:r>
      <w:r w:rsidR="0004023C">
        <w:rPr>
          <w:rFonts w:ascii="Times New Roman" w:hAnsi="Times New Roman" w:cs="Times New Roman"/>
          <w:sz w:val="24"/>
          <w:szCs w:val="24"/>
        </w:rPr>
        <w:t xml:space="preserve"> and related information</w:t>
      </w:r>
      <w:r w:rsidR="00FF5E9A">
        <w:rPr>
          <w:rFonts w:ascii="Times New Roman" w:hAnsi="Times New Roman" w:cs="Times New Roman"/>
          <w:sz w:val="24"/>
          <w:szCs w:val="24"/>
        </w:rPr>
        <w:t xml:space="preserve">. </w:t>
      </w:r>
      <w:r w:rsidR="00A63C66">
        <w:rPr>
          <w:rFonts w:ascii="Times New Roman" w:hAnsi="Times New Roman" w:cs="Times New Roman"/>
          <w:sz w:val="24"/>
          <w:szCs w:val="24"/>
        </w:rPr>
        <w:t>Already at the time of its adoption i</w:t>
      </w:r>
      <w:r w:rsidR="00FF5E9A">
        <w:rPr>
          <w:rFonts w:ascii="Times New Roman" w:hAnsi="Times New Roman" w:cs="Times New Roman"/>
          <w:sz w:val="24"/>
          <w:szCs w:val="24"/>
        </w:rPr>
        <w:t xml:space="preserve">t </w:t>
      </w:r>
      <w:r w:rsidR="00A63C66">
        <w:rPr>
          <w:rFonts w:ascii="Times New Roman" w:hAnsi="Times New Roman" w:cs="Times New Roman"/>
          <w:sz w:val="24"/>
          <w:szCs w:val="24"/>
        </w:rPr>
        <w:t>was</w:t>
      </w:r>
      <w:r w:rsidR="00FF5E9A">
        <w:rPr>
          <w:rFonts w:ascii="Times New Roman" w:hAnsi="Times New Roman" w:cs="Times New Roman"/>
          <w:sz w:val="24"/>
          <w:szCs w:val="24"/>
        </w:rPr>
        <w:t xml:space="preserve"> however </w:t>
      </w:r>
      <w:r w:rsidR="00A63C66">
        <w:rPr>
          <w:rFonts w:ascii="Times New Roman" w:hAnsi="Times New Roman" w:cs="Times New Roman"/>
          <w:sz w:val="24"/>
          <w:szCs w:val="24"/>
        </w:rPr>
        <w:t>considered unlikely</w:t>
      </w:r>
      <w:r w:rsidR="00A63C66" w:rsidRPr="0067170D">
        <w:rPr>
          <w:rFonts w:ascii="Times New Roman" w:hAnsi="Times New Roman" w:cs="Times New Roman"/>
          <w:sz w:val="24"/>
          <w:szCs w:val="24"/>
        </w:rPr>
        <w:t xml:space="preserve"> </w:t>
      </w:r>
      <w:r w:rsidRPr="0067170D">
        <w:rPr>
          <w:rFonts w:ascii="Times New Roman" w:hAnsi="Times New Roman" w:cs="Times New Roman"/>
          <w:sz w:val="24"/>
          <w:szCs w:val="24"/>
        </w:rPr>
        <w:t>that th</w:t>
      </w:r>
      <w:r w:rsidR="00A63C66">
        <w:rPr>
          <w:rFonts w:ascii="Times New Roman" w:hAnsi="Times New Roman" w:cs="Times New Roman"/>
          <w:sz w:val="24"/>
          <w:szCs w:val="24"/>
        </w:rPr>
        <w:t>o</w:t>
      </w:r>
      <w:r w:rsidRPr="0067170D">
        <w:rPr>
          <w:rFonts w:ascii="Times New Roman" w:hAnsi="Times New Roman" w:cs="Times New Roman"/>
          <w:sz w:val="24"/>
          <w:szCs w:val="24"/>
        </w:rPr>
        <w:t>s</w:t>
      </w:r>
      <w:r w:rsidR="00A63C66">
        <w:rPr>
          <w:rFonts w:ascii="Times New Roman" w:hAnsi="Times New Roman" w:cs="Times New Roman"/>
          <w:sz w:val="24"/>
          <w:szCs w:val="24"/>
        </w:rPr>
        <w:t>e</w:t>
      </w:r>
      <w:r w:rsidRPr="0067170D">
        <w:rPr>
          <w:rFonts w:ascii="Times New Roman" w:hAnsi="Times New Roman" w:cs="Times New Roman"/>
          <w:sz w:val="24"/>
          <w:szCs w:val="24"/>
        </w:rPr>
        <w:t xml:space="preserve"> measure</w:t>
      </w:r>
      <w:r w:rsidR="00A63C66">
        <w:rPr>
          <w:rFonts w:ascii="Times New Roman" w:hAnsi="Times New Roman" w:cs="Times New Roman"/>
          <w:sz w:val="24"/>
          <w:szCs w:val="24"/>
        </w:rPr>
        <w:t>s alone</w:t>
      </w:r>
      <w:r w:rsidRPr="0067170D">
        <w:rPr>
          <w:rFonts w:ascii="Times New Roman" w:hAnsi="Times New Roman" w:cs="Times New Roman"/>
          <w:sz w:val="24"/>
          <w:szCs w:val="24"/>
        </w:rPr>
        <w:t xml:space="preserve"> </w:t>
      </w:r>
      <w:r w:rsidR="00A63C66">
        <w:rPr>
          <w:rFonts w:ascii="Times New Roman" w:hAnsi="Times New Roman" w:cs="Times New Roman"/>
          <w:sz w:val="24"/>
          <w:szCs w:val="24"/>
        </w:rPr>
        <w:t>would</w:t>
      </w:r>
      <w:r w:rsidRPr="0067170D">
        <w:rPr>
          <w:rFonts w:ascii="Times New Roman" w:hAnsi="Times New Roman" w:cs="Times New Roman"/>
          <w:sz w:val="24"/>
          <w:szCs w:val="24"/>
        </w:rPr>
        <w:t xml:space="preserve"> succeed in </w:t>
      </w:r>
      <w:r w:rsidR="00FF5E9A">
        <w:rPr>
          <w:rFonts w:ascii="Times New Roman" w:hAnsi="Times New Roman" w:cs="Times New Roman"/>
          <w:sz w:val="24"/>
          <w:szCs w:val="24"/>
        </w:rPr>
        <w:t>reverting</w:t>
      </w:r>
      <w:r w:rsidR="00FF5E9A" w:rsidRPr="0067170D">
        <w:rPr>
          <w:rFonts w:ascii="Times New Roman" w:hAnsi="Times New Roman" w:cs="Times New Roman"/>
          <w:sz w:val="24"/>
          <w:szCs w:val="24"/>
        </w:rPr>
        <w:t xml:space="preserve"> the negative trend </w:t>
      </w:r>
      <w:r w:rsidR="00FF5E9A">
        <w:rPr>
          <w:rFonts w:ascii="Times New Roman" w:hAnsi="Times New Roman" w:cs="Times New Roman"/>
          <w:sz w:val="24"/>
          <w:szCs w:val="24"/>
        </w:rPr>
        <w:t>of</w:t>
      </w:r>
      <w:r w:rsidR="00FF5E9A" w:rsidRPr="0067170D">
        <w:rPr>
          <w:rFonts w:ascii="Times New Roman" w:hAnsi="Times New Roman" w:cs="Times New Roman"/>
          <w:sz w:val="24"/>
          <w:szCs w:val="24"/>
        </w:rPr>
        <w:t xml:space="preserve"> tumble dryers</w:t>
      </w:r>
      <w:r w:rsidR="00FF5E9A">
        <w:rPr>
          <w:rFonts w:ascii="Times New Roman" w:hAnsi="Times New Roman" w:cs="Times New Roman"/>
          <w:sz w:val="24"/>
          <w:szCs w:val="24"/>
        </w:rPr>
        <w:t xml:space="preserve"> durability</w:t>
      </w:r>
      <w:r w:rsidR="00A63C66">
        <w:rPr>
          <w:rFonts w:ascii="Times New Roman" w:hAnsi="Times New Roman" w:cs="Times New Roman"/>
          <w:sz w:val="24"/>
          <w:szCs w:val="24"/>
        </w:rPr>
        <w:t xml:space="preserve"> without additional action</w:t>
      </w:r>
      <w:r w:rsidRPr="0067170D">
        <w:rPr>
          <w:rFonts w:ascii="Times New Roman" w:hAnsi="Times New Roman" w:cs="Times New Roman"/>
          <w:sz w:val="24"/>
          <w:szCs w:val="24"/>
        </w:rPr>
        <w:t xml:space="preserve">. </w:t>
      </w:r>
      <w:r w:rsidR="00A63C66">
        <w:rPr>
          <w:rFonts w:ascii="Times New Roman" w:hAnsi="Times New Roman" w:cs="Times New Roman"/>
          <w:sz w:val="24"/>
          <w:szCs w:val="24"/>
        </w:rPr>
        <w:t xml:space="preserve">The </w:t>
      </w:r>
      <w:r w:rsidR="00A63C66" w:rsidRPr="00F735A4">
        <w:rPr>
          <w:rFonts w:ascii="Times New Roman" w:hAnsi="Times New Roman" w:cs="Times New Roman"/>
          <w:b/>
          <w:bCs/>
          <w:sz w:val="24"/>
          <w:szCs w:val="24"/>
        </w:rPr>
        <w:t>Regulation therefore requires the Commission to present a reparability score for household tumble dryers no later than 1 January 2025</w:t>
      </w:r>
      <w:r w:rsidR="002E435A">
        <w:rPr>
          <w:rStyle w:val="FootnoteReference"/>
          <w:rFonts w:ascii="Times New Roman" w:hAnsi="Times New Roman" w:cs="Times New Roman"/>
          <w:sz w:val="24"/>
          <w:szCs w:val="24"/>
        </w:rPr>
        <w:footnoteReference w:id="2"/>
      </w:r>
      <w:r w:rsidR="00A63C66" w:rsidRPr="00A63C66">
        <w:rPr>
          <w:rFonts w:ascii="Times New Roman" w:hAnsi="Times New Roman" w:cs="Times New Roman"/>
          <w:sz w:val="24"/>
          <w:szCs w:val="24"/>
        </w:rPr>
        <w:t>.</w:t>
      </w:r>
      <w:r>
        <w:rPr>
          <w:rFonts w:ascii="Times New Roman" w:hAnsi="Times New Roman" w:cs="Times New Roman"/>
          <w:sz w:val="24"/>
          <w:szCs w:val="24"/>
        </w:rPr>
        <w:t xml:space="preserve"> A repairability score, displayed in the energy label of the tumble dryer by means of an A-to-D scale, will encourage consumers to buy repairable products and producers to develop appliances that can be repaired in a cost-effective manner. </w:t>
      </w:r>
      <w:r w:rsidR="002E435A">
        <w:rPr>
          <w:rFonts w:ascii="Times New Roman" w:hAnsi="Times New Roman" w:cs="Times New Roman"/>
          <w:sz w:val="24"/>
          <w:szCs w:val="24"/>
        </w:rPr>
        <w:t xml:space="preserve">It would also help </w:t>
      </w:r>
      <w:r w:rsidR="002E435A" w:rsidRPr="00E814E0">
        <w:rPr>
          <w:rFonts w:ascii="Times New Roman" w:hAnsi="Times New Roman" w:cs="Times New Roman"/>
          <w:b/>
          <w:bCs/>
          <w:sz w:val="24"/>
          <w:szCs w:val="24"/>
        </w:rPr>
        <w:t>protect the single market from fragmentation due to national measures</w:t>
      </w:r>
      <w:r w:rsidR="002E435A">
        <w:rPr>
          <w:rFonts w:ascii="Times New Roman" w:hAnsi="Times New Roman" w:cs="Times New Roman"/>
          <w:sz w:val="24"/>
          <w:szCs w:val="24"/>
        </w:rPr>
        <w:t xml:space="preserve"> that might otherwise be adopted to provide consumers with such information, increasing costs for producers and consumers alike.</w:t>
      </w:r>
    </w:p>
    <w:p w14:paraId="7C5B9D3C" w14:textId="3FA0A0AD" w:rsidR="0067170D" w:rsidRDefault="0067170D" w:rsidP="0067170D">
      <w:pPr>
        <w:jc w:val="both"/>
        <w:rPr>
          <w:rFonts w:ascii="Times New Roman" w:hAnsi="Times New Roman" w:cs="Times New Roman"/>
          <w:sz w:val="24"/>
          <w:szCs w:val="24"/>
        </w:rPr>
      </w:pPr>
      <w:r w:rsidRPr="0067170D">
        <w:rPr>
          <w:rFonts w:ascii="Times New Roman" w:hAnsi="Times New Roman" w:cs="Times New Roman"/>
          <w:sz w:val="24"/>
          <w:szCs w:val="24"/>
        </w:rPr>
        <w:t xml:space="preserve">This document proposes </w:t>
      </w:r>
      <w:r>
        <w:rPr>
          <w:rFonts w:ascii="Times New Roman" w:hAnsi="Times New Roman" w:cs="Times New Roman"/>
          <w:sz w:val="24"/>
          <w:szCs w:val="24"/>
        </w:rPr>
        <w:t xml:space="preserve">a repairability score for household tumble dryers, based on recent relevant studies on the matter, and </w:t>
      </w:r>
      <w:r w:rsidRPr="00E814E0">
        <w:rPr>
          <w:rFonts w:ascii="Times New Roman" w:hAnsi="Times New Roman" w:cs="Times New Roman"/>
          <w:b/>
          <w:bCs/>
          <w:sz w:val="24"/>
          <w:szCs w:val="24"/>
        </w:rPr>
        <w:t xml:space="preserve">following a similar approach </w:t>
      </w:r>
      <w:r w:rsidR="002E435A" w:rsidRPr="00E814E0">
        <w:rPr>
          <w:rFonts w:ascii="Times New Roman" w:hAnsi="Times New Roman" w:cs="Times New Roman"/>
          <w:b/>
          <w:bCs/>
          <w:sz w:val="24"/>
          <w:szCs w:val="24"/>
        </w:rPr>
        <w:t>as the one used for</w:t>
      </w:r>
      <w:r w:rsidRPr="00E814E0">
        <w:rPr>
          <w:rFonts w:ascii="Times New Roman" w:hAnsi="Times New Roman" w:cs="Times New Roman"/>
          <w:b/>
          <w:bCs/>
          <w:sz w:val="24"/>
          <w:szCs w:val="24"/>
        </w:rPr>
        <w:t xml:space="preserve"> the rules adopted on energy labelling for smartphones and tablets</w:t>
      </w:r>
      <w:r w:rsidR="002E435A">
        <w:rPr>
          <w:rStyle w:val="FootnoteReference"/>
          <w:rFonts w:ascii="Times New Roman" w:hAnsi="Times New Roman" w:cs="Times New Roman"/>
          <w:sz w:val="24"/>
          <w:szCs w:val="24"/>
        </w:rPr>
        <w:footnoteReference w:id="3"/>
      </w:r>
      <w:r w:rsidR="0098595B">
        <w:rPr>
          <w:rFonts w:ascii="Times New Roman" w:hAnsi="Times New Roman" w:cs="Times New Roman"/>
          <w:sz w:val="24"/>
          <w:szCs w:val="24"/>
        </w:rPr>
        <w:t xml:space="preserve">, </w:t>
      </w:r>
      <w:r w:rsidR="0098595B" w:rsidRPr="0098595B">
        <w:rPr>
          <w:rFonts w:ascii="Times New Roman" w:hAnsi="Times New Roman" w:cs="Times New Roman"/>
          <w:sz w:val="24"/>
          <w:szCs w:val="24"/>
        </w:rPr>
        <w:t xml:space="preserve">consistent with the terminology used in standard </w:t>
      </w:r>
      <w:r w:rsidR="0098595B" w:rsidRPr="00E814E0">
        <w:rPr>
          <w:rFonts w:ascii="Times New Roman" w:hAnsi="Times New Roman" w:cs="Times New Roman"/>
          <w:i/>
          <w:iCs/>
          <w:sz w:val="24"/>
          <w:szCs w:val="24"/>
        </w:rPr>
        <w:t>EN 45554: General methods for the assessment of the ability to repair, reuse and upgrade energy-related products</w:t>
      </w:r>
      <w:r w:rsidR="0098595B">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AB57D8">
        <w:rPr>
          <w:rFonts w:ascii="Times New Roman" w:hAnsi="Times New Roman" w:cs="Times New Roman"/>
          <w:sz w:val="24"/>
          <w:szCs w:val="24"/>
        </w:rPr>
        <w:t xml:space="preserve">The repairability score is determined by scoring, against certain repairability criteria, </w:t>
      </w:r>
      <w:r>
        <w:rPr>
          <w:rFonts w:ascii="Times New Roman" w:hAnsi="Times New Roman" w:cs="Times New Roman"/>
          <w:sz w:val="24"/>
          <w:szCs w:val="24"/>
        </w:rPr>
        <w:t>a number of priority parts</w:t>
      </w:r>
      <w:r w:rsidR="00AB57D8">
        <w:rPr>
          <w:rFonts w:ascii="Times New Roman" w:hAnsi="Times New Roman" w:cs="Times New Roman"/>
          <w:sz w:val="24"/>
          <w:szCs w:val="24"/>
        </w:rPr>
        <w:t>, chosen on the basis of their relevance. T</w:t>
      </w:r>
      <w:r>
        <w:rPr>
          <w:rFonts w:ascii="Times New Roman" w:hAnsi="Times New Roman" w:cs="Times New Roman"/>
          <w:sz w:val="24"/>
          <w:szCs w:val="24"/>
        </w:rPr>
        <w:t xml:space="preserve">he final score for the whole product </w:t>
      </w:r>
      <w:r w:rsidR="00AB57D8">
        <w:rPr>
          <w:rFonts w:ascii="Times New Roman" w:hAnsi="Times New Roman" w:cs="Times New Roman"/>
          <w:sz w:val="24"/>
          <w:szCs w:val="24"/>
        </w:rPr>
        <w:t>is</w:t>
      </w:r>
      <w:r>
        <w:rPr>
          <w:rFonts w:ascii="Times New Roman" w:hAnsi="Times New Roman" w:cs="Times New Roman"/>
          <w:sz w:val="24"/>
          <w:szCs w:val="24"/>
        </w:rPr>
        <w:t xml:space="preserve"> the weighted average of the </w:t>
      </w:r>
      <w:r w:rsidR="00B153B6">
        <w:rPr>
          <w:rFonts w:ascii="Times New Roman" w:hAnsi="Times New Roman" w:cs="Times New Roman"/>
          <w:sz w:val="24"/>
          <w:szCs w:val="24"/>
        </w:rPr>
        <w:t xml:space="preserve">partial </w:t>
      </w:r>
      <w:r>
        <w:rPr>
          <w:rFonts w:ascii="Times New Roman" w:hAnsi="Times New Roman" w:cs="Times New Roman"/>
          <w:sz w:val="24"/>
          <w:szCs w:val="24"/>
        </w:rPr>
        <w:t xml:space="preserve">scores for each </w:t>
      </w:r>
      <w:r w:rsidR="00AB57D8">
        <w:rPr>
          <w:rFonts w:ascii="Times New Roman" w:hAnsi="Times New Roman" w:cs="Times New Roman"/>
          <w:sz w:val="24"/>
          <w:szCs w:val="24"/>
        </w:rPr>
        <w:t xml:space="preserve">repairability </w:t>
      </w:r>
      <w:r w:rsidR="00B153B6">
        <w:rPr>
          <w:rFonts w:ascii="Times New Roman" w:hAnsi="Times New Roman" w:cs="Times New Roman"/>
          <w:sz w:val="24"/>
          <w:szCs w:val="24"/>
        </w:rPr>
        <w:t>criterion</w:t>
      </w:r>
      <w:r>
        <w:rPr>
          <w:rFonts w:ascii="Times New Roman" w:hAnsi="Times New Roman" w:cs="Times New Roman"/>
          <w:sz w:val="24"/>
          <w:szCs w:val="24"/>
        </w:rPr>
        <w:t>.</w:t>
      </w:r>
      <w:r w:rsidR="00B153B6">
        <w:rPr>
          <w:rFonts w:ascii="Times New Roman" w:hAnsi="Times New Roman" w:cs="Times New Roman"/>
          <w:sz w:val="24"/>
          <w:szCs w:val="24"/>
        </w:rPr>
        <w:t xml:space="preserve"> The score </w:t>
      </w:r>
      <w:r w:rsidR="00FF5E9A">
        <w:rPr>
          <w:rFonts w:ascii="Times New Roman" w:hAnsi="Times New Roman" w:cs="Times New Roman"/>
          <w:sz w:val="24"/>
          <w:szCs w:val="24"/>
        </w:rPr>
        <w:t>for</w:t>
      </w:r>
      <w:r w:rsidR="00B153B6">
        <w:rPr>
          <w:rFonts w:ascii="Times New Roman" w:hAnsi="Times New Roman" w:cs="Times New Roman"/>
          <w:sz w:val="24"/>
          <w:szCs w:val="24"/>
        </w:rPr>
        <w:t xml:space="preserve"> each criterion</w:t>
      </w:r>
      <w:r w:rsidR="00AB57D8">
        <w:rPr>
          <w:rFonts w:ascii="Times New Roman" w:hAnsi="Times New Roman" w:cs="Times New Roman"/>
          <w:sz w:val="24"/>
          <w:szCs w:val="24"/>
        </w:rPr>
        <w:t xml:space="preserve"> is</w:t>
      </w:r>
      <w:r w:rsidR="00B153B6">
        <w:rPr>
          <w:rFonts w:ascii="Times New Roman" w:hAnsi="Times New Roman" w:cs="Times New Roman"/>
          <w:sz w:val="24"/>
          <w:szCs w:val="24"/>
        </w:rPr>
        <w:t>, in turn, the weighted average of the partial scores of each priority part against that criterion.</w:t>
      </w:r>
    </w:p>
    <w:p w14:paraId="0AF7FBC9" w14:textId="31D7DB10" w:rsidR="0067170D" w:rsidRDefault="00AB57D8" w:rsidP="0067170D">
      <w:pPr>
        <w:jc w:val="both"/>
        <w:rPr>
          <w:rFonts w:ascii="Times New Roman" w:hAnsi="Times New Roman" w:cs="Times New Roman"/>
          <w:sz w:val="24"/>
          <w:szCs w:val="24"/>
        </w:rPr>
      </w:pPr>
      <w:r>
        <w:rPr>
          <w:rFonts w:ascii="Times New Roman" w:hAnsi="Times New Roman" w:cs="Times New Roman"/>
          <w:sz w:val="24"/>
          <w:szCs w:val="24"/>
        </w:rPr>
        <w:t>The repairability score will be displayed in the label</w:t>
      </w:r>
      <w:r w:rsidR="0098595B">
        <w:rPr>
          <w:rFonts w:ascii="Times New Roman" w:hAnsi="Times New Roman" w:cs="Times New Roman"/>
          <w:sz w:val="24"/>
          <w:szCs w:val="24"/>
        </w:rPr>
        <w:t xml:space="preserve"> as a class on</w:t>
      </w:r>
      <w:r>
        <w:rPr>
          <w:rFonts w:ascii="Times New Roman" w:hAnsi="Times New Roman" w:cs="Times New Roman"/>
          <w:sz w:val="24"/>
          <w:szCs w:val="24"/>
        </w:rPr>
        <w:t xml:space="preserve"> an A-to-D </w:t>
      </w:r>
      <w:r w:rsidR="0098595B">
        <w:rPr>
          <w:rFonts w:ascii="Times New Roman" w:hAnsi="Times New Roman" w:cs="Times New Roman"/>
          <w:sz w:val="24"/>
          <w:szCs w:val="24"/>
        </w:rPr>
        <w:t xml:space="preserve">reparability </w:t>
      </w:r>
      <w:r>
        <w:rPr>
          <w:rFonts w:ascii="Times New Roman" w:hAnsi="Times New Roman" w:cs="Times New Roman"/>
          <w:sz w:val="24"/>
          <w:szCs w:val="24"/>
        </w:rPr>
        <w:t>scale</w:t>
      </w:r>
      <w:r w:rsidR="0098595B">
        <w:rPr>
          <w:rFonts w:ascii="Times New Roman" w:hAnsi="Times New Roman" w:cs="Times New Roman"/>
          <w:sz w:val="24"/>
          <w:szCs w:val="24"/>
        </w:rPr>
        <w:t xml:space="preserve">, </w:t>
      </w:r>
      <w:r>
        <w:rPr>
          <w:rFonts w:ascii="Times New Roman" w:hAnsi="Times New Roman" w:cs="Times New Roman"/>
          <w:sz w:val="24"/>
          <w:szCs w:val="24"/>
        </w:rPr>
        <w:t xml:space="preserve">immediately </w:t>
      </w:r>
      <w:r w:rsidR="0098595B">
        <w:rPr>
          <w:rFonts w:ascii="Times New Roman" w:hAnsi="Times New Roman" w:cs="Times New Roman"/>
          <w:sz w:val="24"/>
          <w:szCs w:val="24"/>
        </w:rPr>
        <w:t xml:space="preserve">allowing </w:t>
      </w:r>
      <w:r w:rsidR="007A330B">
        <w:rPr>
          <w:rFonts w:ascii="Times New Roman" w:hAnsi="Times New Roman" w:cs="Times New Roman"/>
          <w:sz w:val="24"/>
          <w:szCs w:val="24"/>
        </w:rPr>
        <w:t xml:space="preserve">the consumer </w:t>
      </w:r>
      <w:r w:rsidR="0098595B">
        <w:rPr>
          <w:rFonts w:ascii="Times New Roman" w:hAnsi="Times New Roman" w:cs="Times New Roman"/>
          <w:sz w:val="24"/>
          <w:szCs w:val="24"/>
        </w:rPr>
        <w:t>to assess</w:t>
      </w:r>
      <w:r w:rsidR="007A330B">
        <w:rPr>
          <w:rFonts w:ascii="Times New Roman" w:hAnsi="Times New Roman" w:cs="Times New Roman"/>
          <w:sz w:val="24"/>
          <w:szCs w:val="24"/>
        </w:rPr>
        <w:t xml:space="preserve"> </w:t>
      </w:r>
      <w:r>
        <w:rPr>
          <w:rFonts w:ascii="Times New Roman" w:hAnsi="Times New Roman" w:cs="Times New Roman"/>
          <w:sz w:val="24"/>
          <w:szCs w:val="24"/>
        </w:rPr>
        <w:t xml:space="preserve">how good or bad a product is in terms of repairability, compared with other models. </w:t>
      </w:r>
    </w:p>
    <w:p w14:paraId="1B275EBF" w14:textId="162A725E" w:rsidR="007A330B" w:rsidRPr="0067170D" w:rsidRDefault="00B260B9" w:rsidP="006717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repairability score has been discussed and agreed with stakeholders at the Consultation Forum of </w:t>
      </w:r>
      <w:r w:rsidR="00D976BE" w:rsidRPr="00D976BE">
        <w:rPr>
          <w:rFonts w:ascii="Times New Roman" w:hAnsi="Times New Roman" w:cs="Times New Roman"/>
          <w:sz w:val="24"/>
          <w:szCs w:val="24"/>
          <w:highlight w:val="yellow"/>
        </w:rPr>
        <w:t xml:space="preserve">11 March </w:t>
      </w:r>
      <w:r w:rsidRPr="00D976BE">
        <w:rPr>
          <w:rFonts w:ascii="Times New Roman" w:hAnsi="Times New Roman" w:cs="Times New Roman"/>
          <w:sz w:val="24"/>
          <w:szCs w:val="24"/>
          <w:highlight w:val="yellow"/>
        </w:rPr>
        <w:t>2024</w:t>
      </w:r>
      <w:r>
        <w:rPr>
          <w:rFonts w:ascii="Times New Roman" w:hAnsi="Times New Roman" w:cs="Times New Roman"/>
          <w:sz w:val="24"/>
          <w:szCs w:val="24"/>
        </w:rPr>
        <w:t xml:space="preserve">. It </w:t>
      </w:r>
      <w:r w:rsidR="007A330B">
        <w:rPr>
          <w:rFonts w:ascii="Times New Roman" w:hAnsi="Times New Roman" w:cs="Times New Roman"/>
          <w:sz w:val="24"/>
          <w:szCs w:val="24"/>
        </w:rPr>
        <w:t>will be adopted as an amendment to Delegated Regulation (EU) 2023/</w:t>
      </w:r>
      <w:r w:rsidR="00D976BE">
        <w:rPr>
          <w:rFonts w:ascii="Times New Roman" w:hAnsi="Times New Roman" w:cs="Times New Roman"/>
          <w:sz w:val="24"/>
          <w:szCs w:val="24"/>
        </w:rPr>
        <w:t>2534</w:t>
      </w:r>
      <w:r w:rsidR="007A330B">
        <w:rPr>
          <w:rStyle w:val="FootnoteReference"/>
          <w:rFonts w:ascii="Times New Roman" w:hAnsi="Times New Roman" w:cs="Times New Roman"/>
          <w:sz w:val="24"/>
          <w:szCs w:val="24"/>
        </w:rPr>
        <w:footnoteReference w:id="5"/>
      </w:r>
      <w:r w:rsidR="007A330B">
        <w:rPr>
          <w:rFonts w:ascii="Times New Roman" w:hAnsi="Times New Roman" w:cs="Times New Roman"/>
          <w:sz w:val="24"/>
          <w:szCs w:val="24"/>
        </w:rPr>
        <w:t xml:space="preserve">. </w:t>
      </w:r>
    </w:p>
    <w:p w14:paraId="66266235" w14:textId="44BB3552" w:rsidR="007F6754" w:rsidRPr="00F92EAE" w:rsidRDefault="007F6754" w:rsidP="007F6754">
      <w:pPr>
        <w:pStyle w:val="Heading1"/>
      </w:pPr>
      <w:r w:rsidRPr="00F92EAE">
        <w:t xml:space="preserve">Introduction: </w:t>
      </w:r>
      <w:r w:rsidR="00BD4818">
        <w:t>p</w:t>
      </w:r>
      <w:r w:rsidRPr="00F92EAE">
        <w:t>olitical</w:t>
      </w:r>
      <w:r w:rsidR="001A222E">
        <w:t>, legal and social</w:t>
      </w:r>
      <w:r w:rsidRPr="00F92EAE">
        <w:t xml:space="preserve"> context</w:t>
      </w:r>
      <w:bookmarkEnd w:id="1"/>
      <w:bookmarkEnd w:id="2"/>
    </w:p>
    <w:p w14:paraId="200C63BD" w14:textId="71EE7AFC" w:rsidR="001A222E" w:rsidRDefault="001A222E" w:rsidP="001A222E">
      <w:pPr>
        <w:pStyle w:val="Heading2"/>
      </w:pPr>
      <w:r>
        <w:t>Political context</w:t>
      </w:r>
    </w:p>
    <w:p w14:paraId="2DD3B024" w14:textId="75723113" w:rsidR="00DC4262" w:rsidRPr="007F6754" w:rsidRDefault="00D45B34" w:rsidP="007F6754">
      <w:pPr>
        <w:jc w:val="both"/>
        <w:rPr>
          <w:rFonts w:ascii="Times New Roman" w:hAnsi="Times New Roman" w:cs="Times New Roman"/>
          <w:sz w:val="24"/>
          <w:szCs w:val="24"/>
        </w:rPr>
      </w:pPr>
      <w:r>
        <w:rPr>
          <w:rFonts w:ascii="Times New Roman" w:hAnsi="Times New Roman" w:cs="Times New Roman"/>
          <w:sz w:val="24"/>
          <w:szCs w:val="24"/>
        </w:rPr>
        <w:t>In December 2019, the Commission presented t</w:t>
      </w:r>
      <w:r w:rsidR="007F6754" w:rsidRPr="007F6754">
        <w:rPr>
          <w:rFonts w:ascii="Times New Roman" w:hAnsi="Times New Roman" w:cs="Times New Roman"/>
          <w:sz w:val="24"/>
          <w:szCs w:val="24"/>
        </w:rPr>
        <w:t>he European Green Deal</w:t>
      </w:r>
      <w:r w:rsidR="007F6754" w:rsidRPr="007F6754">
        <w:rPr>
          <w:rFonts w:ascii="Times New Roman" w:hAnsi="Times New Roman" w:cs="Times New Roman"/>
          <w:sz w:val="24"/>
          <w:szCs w:val="24"/>
          <w:vertAlign w:val="superscript"/>
        </w:rPr>
        <w:footnoteReference w:id="6"/>
      </w:r>
      <w:r w:rsidR="005B52A6">
        <w:rPr>
          <w:rFonts w:ascii="Times New Roman" w:hAnsi="Times New Roman" w:cs="Times New Roman"/>
          <w:sz w:val="24"/>
          <w:szCs w:val="24"/>
        </w:rPr>
        <w:t>,</w:t>
      </w:r>
      <w:r w:rsidR="00126A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26A33">
        <w:rPr>
          <w:rFonts w:ascii="Times New Roman" w:hAnsi="Times New Roman" w:cs="Times New Roman"/>
          <w:sz w:val="24"/>
          <w:szCs w:val="24"/>
        </w:rPr>
        <w:t xml:space="preserve">centre </w:t>
      </w:r>
      <w:r>
        <w:rPr>
          <w:rFonts w:ascii="Times New Roman" w:hAnsi="Times New Roman" w:cs="Times New Roman"/>
          <w:sz w:val="24"/>
          <w:szCs w:val="24"/>
        </w:rPr>
        <w:t xml:space="preserve">of its </w:t>
      </w:r>
      <w:r w:rsidR="00126A33">
        <w:rPr>
          <w:rFonts w:ascii="Times New Roman" w:hAnsi="Times New Roman" w:cs="Times New Roman"/>
          <w:sz w:val="24"/>
          <w:szCs w:val="24"/>
        </w:rPr>
        <w:t xml:space="preserve">environmental strategy </w:t>
      </w:r>
      <w:r w:rsidR="00126A33" w:rsidRPr="007F6754">
        <w:rPr>
          <w:rFonts w:ascii="Times New Roman" w:hAnsi="Times New Roman" w:cs="Times New Roman"/>
          <w:iCs/>
          <w:sz w:val="24"/>
          <w:szCs w:val="24"/>
        </w:rPr>
        <w:t xml:space="preserve">to </w:t>
      </w:r>
      <w:r w:rsidR="00126A33">
        <w:rPr>
          <w:rFonts w:ascii="Times New Roman" w:hAnsi="Times New Roman" w:cs="Times New Roman"/>
          <w:iCs/>
          <w:sz w:val="24"/>
          <w:szCs w:val="24"/>
        </w:rPr>
        <w:t>implement</w:t>
      </w:r>
      <w:r w:rsidR="00126A33" w:rsidRPr="007F6754">
        <w:rPr>
          <w:rFonts w:ascii="Times New Roman" w:hAnsi="Times New Roman" w:cs="Times New Roman"/>
          <w:iCs/>
          <w:sz w:val="24"/>
          <w:szCs w:val="24"/>
        </w:rPr>
        <w:t xml:space="preserve"> the </w:t>
      </w:r>
      <w:r w:rsidR="00126A33" w:rsidRPr="007F6754">
        <w:rPr>
          <w:rFonts w:ascii="Times New Roman" w:hAnsi="Times New Roman" w:cs="Times New Roman"/>
          <w:sz w:val="24"/>
          <w:szCs w:val="24"/>
        </w:rPr>
        <w:t xml:space="preserve">United Nation’s 2030 Agenda </w:t>
      </w:r>
      <w:r w:rsidR="00126A33">
        <w:rPr>
          <w:rFonts w:ascii="Times New Roman" w:hAnsi="Times New Roman" w:cs="Times New Roman"/>
          <w:sz w:val="24"/>
          <w:szCs w:val="24"/>
        </w:rPr>
        <w:t>and the sustainable development goals</w:t>
      </w:r>
      <w:r w:rsidR="00126A33" w:rsidRPr="007F6754">
        <w:rPr>
          <w:rFonts w:ascii="Times New Roman" w:hAnsi="Times New Roman" w:cs="Times New Roman"/>
          <w:sz w:val="24"/>
          <w:szCs w:val="24"/>
          <w:vertAlign w:val="superscript"/>
        </w:rPr>
        <w:footnoteReference w:id="7"/>
      </w:r>
      <w:r w:rsidR="00126A33">
        <w:rPr>
          <w:rFonts w:ascii="Times New Roman" w:hAnsi="Times New Roman" w:cs="Times New Roman"/>
          <w:sz w:val="24"/>
          <w:szCs w:val="24"/>
        </w:rPr>
        <w:t>. The Green Deal aims at turning</w:t>
      </w:r>
      <w:r>
        <w:rPr>
          <w:rFonts w:ascii="Times New Roman" w:hAnsi="Times New Roman" w:cs="Times New Roman"/>
          <w:sz w:val="24"/>
          <w:szCs w:val="24"/>
        </w:rPr>
        <w:t xml:space="preserve"> Europe into the first climate-neutral continent by 2050, and </w:t>
      </w:r>
      <w:r w:rsidR="00126A33">
        <w:rPr>
          <w:rFonts w:ascii="Times New Roman" w:hAnsi="Times New Roman" w:cs="Times New Roman"/>
          <w:sz w:val="24"/>
          <w:szCs w:val="24"/>
        </w:rPr>
        <w:t>at</w:t>
      </w:r>
      <w:r>
        <w:rPr>
          <w:rFonts w:ascii="Times New Roman" w:hAnsi="Times New Roman" w:cs="Times New Roman"/>
          <w:sz w:val="24"/>
          <w:szCs w:val="24"/>
        </w:rPr>
        <w:t xml:space="preserve"> protect</w:t>
      </w:r>
      <w:r w:rsidR="00126A33">
        <w:rPr>
          <w:rFonts w:ascii="Times New Roman" w:hAnsi="Times New Roman" w:cs="Times New Roman"/>
          <w:sz w:val="24"/>
          <w:szCs w:val="24"/>
        </w:rPr>
        <w:t>ing</w:t>
      </w:r>
      <w:r>
        <w:rPr>
          <w:rFonts w:ascii="Times New Roman" w:hAnsi="Times New Roman" w:cs="Times New Roman"/>
          <w:sz w:val="24"/>
          <w:szCs w:val="24"/>
        </w:rPr>
        <w:t xml:space="preserve"> health and well-being of citizens from environment-related risks and impacts.</w:t>
      </w:r>
      <w:r w:rsidR="007F6754" w:rsidRPr="007F6754">
        <w:rPr>
          <w:rFonts w:ascii="Times New Roman" w:hAnsi="Times New Roman" w:cs="Times New Roman"/>
          <w:sz w:val="24"/>
          <w:szCs w:val="24"/>
        </w:rPr>
        <w:t xml:space="preserve"> </w:t>
      </w:r>
    </w:p>
    <w:p w14:paraId="3DF87E9D" w14:textId="0F2A5D64" w:rsidR="007F6754" w:rsidRDefault="007F6754" w:rsidP="007F6754">
      <w:pPr>
        <w:jc w:val="both"/>
        <w:rPr>
          <w:rFonts w:ascii="Times New Roman" w:hAnsi="Times New Roman" w:cs="Times New Roman"/>
          <w:sz w:val="24"/>
          <w:szCs w:val="24"/>
        </w:rPr>
      </w:pPr>
      <w:r>
        <w:rPr>
          <w:rFonts w:ascii="Times New Roman" w:hAnsi="Times New Roman" w:cs="Times New Roman"/>
          <w:sz w:val="24"/>
          <w:szCs w:val="24"/>
        </w:rPr>
        <w:t xml:space="preserve">One of the </w:t>
      </w:r>
      <w:r w:rsidR="00F241A1">
        <w:rPr>
          <w:rFonts w:ascii="Times New Roman" w:hAnsi="Times New Roman" w:cs="Times New Roman"/>
          <w:sz w:val="24"/>
          <w:szCs w:val="24"/>
        </w:rPr>
        <w:t>policies</w:t>
      </w:r>
      <w:r w:rsidRPr="007F6754">
        <w:rPr>
          <w:rFonts w:ascii="Times New Roman" w:hAnsi="Times New Roman" w:cs="Times New Roman"/>
          <w:sz w:val="24"/>
          <w:szCs w:val="24"/>
        </w:rPr>
        <w:t xml:space="preserve"> </w:t>
      </w:r>
      <w:r w:rsidR="00F241A1">
        <w:rPr>
          <w:rFonts w:ascii="Times New Roman" w:hAnsi="Times New Roman" w:cs="Times New Roman"/>
          <w:sz w:val="24"/>
          <w:szCs w:val="24"/>
        </w:rPr>
        <w:t>included in</w:t>
      </w:r>
      <w:r w:rsidRPr="007F6754">
        <w:rPr>
          <w:rFonts w:ascii="Times New Roman" w:hAnsi="Times New Roman" w:cs="Times New Roman"/>
          <w:sz w:val="24"/>
          <w:szCs w:val="24"/>
        </w:rPr>
        <w:t xml:space="preserve"> the Green Deal is </w:t>
      </w:r>
      <w:r w:rsidR="00F241A1">
        <w:rPr>
          <w:rFonts w:ascii="Times New Roman" w:hAnsi="Times New Roman" w:cs="Times New Roman"/>
          <w:sz w:val="24"/>
          <w:szCs w:val="24"/>
        </w:rPr>
        <w:t>the mobilisation of industry for a clean and circular economy</w:t>
      </w:r>
      <w:r w:rsidRPr="007F6754">
        <w:rPr>
          <w:rFonts w:ascii="Times New Roman" w:hAnsi="Times New Roman" w:cs="Times New Roman"/>
          <w:sz w:val="24"/>
          <w:szCs w:val="24"/>
        </w:rPr>
        <w:t>. The Circular Economy Action Plan</w:t>
      </w:r>
      <w:r w:rsidR="00FF712E">
        <w:rPr>
          <w:rFonts w:ascii="Times New Roman" w:hAnsi="Times New Roman" w:cs="Times New Roman"/>
          <w:sz w:val="24"/>
          <w:szCs w:val="24"/>
        </w:rPr>
        <w:t xml:space="preserve"> (CEAP)</w:t>
      </w:r>
      <w:r w:rsidRPr="007F6754">
        <w:rPr>
          <w:rFonts w:ascii="Times New Roman" w:hAnsi="Times New Roman" w:cs="Times New Roman"/>
          <w:sz w:val="24"/>
          <w:szCs w:val="24"/>
          <w:vertAlign w:val="superscript"/>
        </w:rPr>
        <w:footnoteReference w:id="8"/>
      </w:r>
      <w:r w:rsidR="004366BA">
        <w:rPr>
          <w:rFonts w:ascii="Times New Roman" w:hAnsi="Times New Roman" w:cs="Times New Roman"/>
          <w:sz w:val="24"/>
          <w:szCs w:val="24"/>
        </w:rPr>
        <w:t xml:space="preserve"> </w:t>
      </w:r>
      <w:r w:rsidR="00D13CB5">
        <w:rPr>
          <w:rFonts w:ascii="Times New Roman" w:hAnsi="Times New Roman" w:cs="Times New Roman"/>
          <w:sz w:val="24"/>
          <w:szCs w:val="24"/>
        </w:rPr>
        <w:t>adopted</w:t>
      </w:r>
      <w:r w:rsidR="004366BA">
        <w:rPr>
          <w:rFonts w:ascii="Times New Roman" w:hAnsi="Times New Roman" w:cs="Times New Roman"/>
          <w:sz w:val="24"/>
          <w:szCs w:val="24"/>
        </w:rPr>
        <w:t xml:space="preserve"> by the Commission i</w:t>
      </w:r>
      <w:r w:rsidR="00D13CB5">
        <w:rPr>
          <w:rFonts w:ascii="Times New Roman" w:hAnsi="Times New Roman" w:cs="Times New Roman"/>
          <w:sz w:val="24"/>
          <w:szCs w:val="24"/>
        </w:rPr>
        <w:t>n March 2020,</w:t>
      </w:r>
      <w:r w:rsidRPr="007F6754">
        <w:rPr>
          <w:rFonts w:ascii="Times New Roman" w:hAnsi="Times New Roman" w:cs="Times New Roman"/>
          <w:sz w:val="24"/>
          <w:szCs w:val="24"/>
        </w:rPr>
        <w:t xml:space="preserve"> </w:t>
      </w:r>
      <w:r w:rsidR="00F241A1">
        <w:rPr>
          <w:rFonts w:ascii="Times New Roman" w:hAnsi="Times New Roman" w:cs="Times New Roman"/>
          <w:sz w:val="24"/>
          <w:szCs w:val="24"/>
        </w:rPr>
        <w:t>contains a set of measures to</w:t>
      </w:r>
      <w:r w:rsidR="00900771">
        <w:rPr>
          <w:rFonts w:ascii="Times New Roman" w:hAnsi="Times New Roman" w:cs="Times New Roman"/>
          <w:sz w:val="24"/>
          <w:szCs w:val="24"/>
        </w:rPr>
        <w:t xml:space="preserve"> </w:t>
      </w:r>
      <w:r w:rsidR="00F241A1">
        <w:rPr>
          <w:rFonts w:ascii="Times New Roman" w:hAnsi="Times New Roman" w:cs="Times New Roman"/>
          <w:sz w:val="24"/>
          <w:szCs w:val="24"/>
        </w:rPr>
        <w:t>accelerate</w:t>
      </w:r>
      <w:r w:rsidR="004E20C4">
        <w:rPr>
          <w:rFonts w:ascii="Times New Roman" w:hAnsi="Times New Roman" w:cs="Times New Roman"/>
          <w:sz w:val="24"/>
          <w:szCs w:val="24"/>
        </w:rPr>
        <w:t xml:space="preserve"> the </w:t>
      </w:r>
      <w:r w:rsidR="00F241A1">
        <w:rPr>
          <w:rFonts w:ascii="Times New Roman" w:hAnsi="Times New Roman" w:cs="Times New Roman"/>
          <w:sz w:val="24"/>
          <w:szCs w:val="24"/>
        </w:rPr>
        <w:t>transformational change required by the Green Deal as regards</w:t>
      </w:r>
      <w:r w:rsidR="00900771">
        <w:rPr>
          <w:rFonts w:ascii="Times New Roman" w:hAnsi="Times New Roman" w:cs="Times New Roman"/>
          <w:sz w:val="24"/>
          <w:szCs w:val="24"/>
        </w:rPr>
        <w:t xml:space="preserve"> circular economy</w:t>
      </w:r>
      <w:r w:rsidR="00252C8B">
        <w:rPr>
          <w:rFonts w:ascii="Times New Roman" w:hAnsi="Times New Roman" w:cs="Times New Roman"/>
          <w:sz w:val="24"/>
          <w:szCs w:val="24"/>
        </w:rPr>
        <w:t xml:space="preserve">. One of the </w:t>
      </w:r>
      <w:r w:rsidR="00900771">
        <w:rPr>
          <w:rFonts w:ascii="Times New Roman" w:hAnsi="Times New Roman" w:cs="Times New Roman"/>
          <w:sz w:val="24"/>
          <w:szCs w:val="24"/>
        </w:rPr>
        <w:t>actions included</w:t>
      </w:r>
      <w:r w:rsidR="00252C8B">
        <w:rPr>
          <w:rFonts w:ascii="Times New Roman" w:hAnsi="Times New Roman" w:cs="Times New Roman"/>
          <w:sz w:val="24"/>
          <w:szCs w:val="24"/>
        </w:rPr>
        <w:t xml:space="preserve"> </w:t>
      </w:r>
      <w:r w:rsidR="00900771">
        <w:rPr>
          <w:rFonts w:ascii="Times New Roman" w:hAnsi="Times New Roman" w:cs="Times New Roman"/>
          <w:sz w:val="24"/>
          <w:szCs w:val="24"/>
        </w:rPr>
        <w:t>in</w:t>
      </w:r>
      <w:r w:rsidR="00252C8B">
        <w:rPr>
          <w:rFonts w:ascii="Times New Roman" w:hAnsi="Times New Roman" w:cs="Times New Roman"/>
          <w:sz w:val="24"/>
          <w:szCs w:val="24"/>
        </w:rPr>
        <w:t xml:space="preserve"> the CEAP is </w:t>
      </w:r>
      <w:r w:rsidR="00A91C14">
        <w:rPr>
          <w:rFonts w:ascii="Times New Roman" w:hAnsi="Times New Roman" w:cs="Times New Roman"/>
          <w:sz w:val="24"/>
          <w:szCs w:val="24"/>
        </w:rPr>
        <w:t>to promote the</w:t>
      </w:r>
      <w:r w:rsidR="00252C8B">
        <w:rPr>
          <w:rFonts w:ascii="Times New Roman" w:hAnsi="Times New Roman" w:cs="Times New Roman"/>
          <w:sz w:val="24"/>
          <w:szCs w:val="24"/>
        </w:rPr>
        <w:t xml:space="preserve"> design of sustainable products</w:t>
      </w:r>
      <w:r w:rsidR="00A91C14">
        <w:rPr>
          <w:rFonts w:ascii="Times New Roman" w:hAnsi="Times New Roman" w:cs="Times New Roman"/>
          <w:sz w:val="24"/>
          <w:szCs w:val="24"/>
        </w:rPr>
        <w:t>, this by improving product durability and repairability and countering premature obsolescence</w:t>
      </w:r>
      <w:r w:rsidRPr="007F6754">
        <w:rPr>
          <w:rFonts w:ascii="Times New Roman" w:hAnsi="Times New Roman" w:cs="Times New Roman"/>
          <w:sz w:val="24"/>
          <w:szCs w:val="24"/>
        </w:rPr>
        <w:t>.</w:t>
      </w:r>
      <w:r w:rsidR="00FF712E">
        <w:rPr>
          <w:rFonts w:ascii="Times New Roman" w:hAnsi="Times New Roman" w:cs="Times New Roman"/>
          <w:sz w:val="24"/>
          <w:szCs w:val="24"/>
        </w:rPr>
        <w:t xml:space="preserve"> </w:t>
      </w:r>
      <w:r w:rsidR="00A91C14">
        <w:rPr>
          <w:rFonts w:ascii="Times New Roman" w:hAnsi="Times New Roman" w:cs="Times New Roman"/>
          <w:sz w:val="24"/>
          <w:szCs w:val="24"/>
        </w:rPr>
        <w:t>T</w:t>
      </w:r>
      <w:r w:rsidR="00FF712E">
        <w:rPr>
          <w:rFonts w:ascii="Times New Roman" w:hAnsi="Times New Roman" w:cs="Times New Roman"/>
          <w:sz w:val="24"/>
          <w:szCs w:val="24"/>
        </w:rPr>
        <w:t xml:space="preserve">he CEAP </w:t>
      </w:r>
      <w:r w:rsidR="00A91C14">
        <w:rPr>
          <w:rFonts w:ascii="Times New Roman" w:hAnsi="Times New Roman" w:cs="Times New Roman"/>
          <w:sz w:val="24"/>
          <w:szCs w:val="24"/>
        </w:rPr>
        <w:t xml:space="preserve">acknowledges </w:t>
      </w:r>
      <w:r w:rsidR="00FF712E">
        <w:rPr>
          <w:rFonts w:ascii="Times New Roman" w:hAnsi="Times New Roman" w:cs="Times New Roman"/>
          <w:sz w:val="24"/>
          <w:szCs w:val="24"/>
        </w:rPr>
        <w:t>that many products break to</w:t>
      </w:r>
      <w:r w:rsidR="00F318CB">
        <w:rPr>
          <w:rFonts w:ascii="Times New Roman" w:hAnsi="Times New Roman" w:cs="Times New Roman"/>
          <w:sz w:val="24"/>
          <w:szCs w:val="24"/>
        </w:rPr>
        <w:t>o</w:t>
      </w:r>
      <w:r w:rsidR="00FF712E">
        <w:rPr>
          <w:rFonts w:ascii="Times New Roman" w:hAnsi="Times New Roman" w:cs="Times New Roman"/>
          <w:sz w:val="24"/>
          <w:szCs w:val="24"/>
        </w:rPr>
        <w:t xml:space="preserve"> quickly and cannot be easily reused, repaired or recycled</w:t>
      </w:r>
      <w:r w:rsidR="00A91C14">
        <w:rPr>
          <w:rFonts w:ascii="Times New Roman" w:hAnsi="Times New Roman" w:cs="Times New Roman"/>
          <w:sz w:val="24"/>
          <w:szCs w:val="24"/>
        </w:rPr>
        <w:t>, pointing out</w:t>
      </w:r>
      <w:r w:rsidR="00AD5EBA">
        <w:rPr>
          <w:rFonts w:ascii="Times New Roman" w:hAnsi="Times New Roman" w:cs="Times New Roman"/>
          <w:sz w:val="24"/>
          <w:szCs w:val="24"/>
        </w:rPr>
        <w:t xml:space="preserve"> that EU initiatives and legislation on circular economy are scattered and </w:t>
      </w:r>
      <w:r w:rsidR="006A68E2">
        <w:rPr>
          <w:rFonts w:ascii="Times New Roman" w:hAnsi="Times New Roman" w:cs="Times New Roman"/>
          <w:sz w:val="24"/>
          <w:szCs w:val="24"/>
        </w:rPr>
        <w:t xml:space="preserve">that </w:t>
      </w:r>
      <w:r w:rsidR="002F194B">
        <w:rPr>
          <w:rFonts w:ascii="Times New Roman" w:hAnsi="Times New Roman" w:cs="Times New Roman"/>
          <w:sz w:val="24"/>
          <w:szCs w:val="24"/>
        </w:rPr>
        <w:t>a</w:t>
      </w:r>
      <w:r w:rsidR="00AD5EBA">
        <w:rPr>
          <w:rFonts w:ascii="Times New Roman" w:hAnsi="Times New Roman" w:cs="Times New Roman"/>
          <w:sz w:val="24"/>
          <w:szCs w:val="24"/>
        </w:rPr>
        <w:t xml:space="preserve"> harmonised approach </w:t>
      </w:r>
      <w:r w:rsidR="002F194B">
        <w:rPr>
          <w:rFonts w:ascii="Times New Roman" w:hAnsi="Times New Roman" w:cs="Times New Roman"/>
          <w:sz w:val="24"/>
          <w:szCs w:val="24"/>
        </w:rPr>
        <w:t xml:space="preserve">is needed </w:t>
      </w:r>
      <w:r w:rsidR="00AD5EBA">
        <w:rPr>
          <w:rFonts w:ascii="Times New Roman" w:hAnsi="Times New Roman" w:cs="Times New Roman"/>
          <w:sz w:val="24"/>
          <w:szCs w:val="24"/>
        </w:rPr>
        <w:t xml:space="preserve">to ensure that products placed in the EU market </w:t>
      </w:r>
      <w:r w:rsidR="00A91C14">
        <w:rPr>
          <w:rFonts w:ascii="Times New Roman" w:hAnsi="Times New Roman" w:cs="Times New Roman"/>
          <w:sz w:val="24"/>
          <w:szCs w:val="24"/>
        </w:rPr>
        <w:t>meet</w:t>
      </w:r>
      <w:r w:rsidR="00AD5EBA">
        <w:rPr>
          <w:rFonts w:ascii="Times New Roman" w:hAnsi="Times New Roman" w:cs="Times New Roman"/>
          <w:sz w:val="24"/>
          <w:szCs w:val="24"/>
        </w:rPr>
        <w:t xml:space="preserve"> </w:t>
      </w:r>
      <w:r w:rsidR="002F194B">
        <w:rPr>
          <w:rFonts w:ascii="Times New Roman" w:hAnsi="Times New Roman" w:cs="Times New Roman"/>
          <w:sz w:val="24"/>
          <w:szCs w:val="24"/>
        </w:rPr>
        <w:t xml:space="preserve">common </w:t>
      </w:r>
      <w:r w:rsidR="00AD5EBA">
        <w:rPr>
          <w:rFonts w:ascii="Times New Roman" w:hAnsi="Times New Roman" w:cs="Times New Roman"/>
          <w:sz w:val="24"/>
          <w:szCs w:val="24"/>
        </w:rPr>
        <w:t xml:space="preserve">criteria on circular economy. </w:t>
      </w:r>
      <w:r w:rsidR="00A91C14">
        <w:rPr>
          <w:rFonts w:ascii="Times New Roman" w:hAnsi="Times New Roman" w:cs="Times New Roman"/>
          <w:sz w:val="24"/>
          <w:szCs w:val="24"/>
        </w:rPr>
        <w:t>T</w:t>
      </w:r>
      <w:r w:rsidR="00691604">
        <w:rPr>
          <w:rFonts w:ascii="Times New Roman" w:hAnsi="Times New Roman" w:cs="Times New Roman"/>
          <w:sz w:val="24"/>
          <w:szCs w:val="24"/>
        </w:rPr>
        <w:t xml:space="preserve">o systematically address sustainability criteria in products, the </w:t>
      </w:r>
      <w:r w:rsidR="00A07ABE">
        <w:rPr>
          <w:rFonts w:ascii="Times New Roman" w:hAnsi="Times New Roman" w:cs="Times New Roman"/>
          <w:sz w:val="24"/>
          <w:szCs w:val="24"/>
        </w:rPr>
        <w:t xml:space="preserve">CEAP </w:t>
      </w:r>
      <w:r w:rsidR="00691604">
        <w:rPr>
          <w:rFonts w:ascii="Times New Roman" w:hAnsi="Times New Roman" w:cs="Times New Roman"/>
          <w:sz w:val="24"/>
          <w:szCs w:val="24"/>
        </w:rPr>
        <w:t xml:space="preserve">identifies two lines of action. </w:t>
      </w:r>
      <w:r w:rsidR="00F600F2">
        <w:rPr>
          <w:rFonts w:ascii="Times New Roman" w:hAnsi="Times New Roman" w:cs="Times New Roman"/>
          <w:sz w:val="24"/>
          <w:szCs w:val="24"/>
        </w:rPr>
        <w:t xml:space="preserve">The first one, general, is to </w:t>
      </w:r>
      <w:r w:rsidR="00691604">
        <w:rPr>
          <w:rFonts w:ascii="Times New Roman" w:hAnsi="Times New Roman" w:cs="Times New Roman"/>
          <w:sz w:val="24"/>
          <w:szCs w:val="24"/>
        </w:rPr>
        <w:t>extend the scope of the ecodesig</w:t>
      </w:r>
      <w:r w:rsidR="00197C76">
        <w:rPr>
          <w:rFonts w:ascii="Times New Roman" w:hAnsi="Times New Roman" w:cs="Times New Roman"/>
          <w:sz w:val="24"/>
          <w:szCs w:val="24"/>
        </w:rPr>
        <w:t>n</w:t>
      </w:r>
      <w:r w:rsidR="00691604">
        <w:rPr>
          <w:rFonts w:ascii="Times New Roman" w:hAnsi="Times New Roman" w:cs="Times New Roman"/>
          <w:sz w:val="24"/>
          <w:szCs w:val="24"/>
        </w:rPr>
        <w:t xml:space="preserve"> legal framework beyond energy-related products. </w:t>
      </w:r>
      <w:r w:rsidR="00F600F2">
        <w:rPr>
          <w:rFonts w:ascii="Times New Roman" w:hAnsi="Times New Roman" w:cs="Times New Roman"/>
          <w:sz w:val="24"/>
          <w:szCs w:val="24"/>
        </w:rPr>
        <w:t>This has resulted in the adoption by the Commission, in March 2022</w:t>
      </w:r>
      <w:r w:rsidR="00F600F2" w:rsidRPr="00F600F2">
        <w:rPr>
          <w:rFonts w:ascii="Times New Roman" w:hAnsi="Times New Roman" w:cs="Times New Roman"/>
          <w:sz w:val="24"/>
          <w:szCs w:val="24"/>
        </w:rPr>
        <w:t>, of the ESPR (Ecodesign for Sustainable Products Regulation) proposal to replace the Ecodesign Framework Directive</w:t>
      </w:r>
      <w:r w:rsidR="00F600F2" w:rsidRPr="00F600F2">
        <w:rPr>
          <w:rStyle w:val="FootnoteReference"/>
          <w:rFonts w:ascii="Times New Roman" w:hAnsi="Times New Roman" w:cs="Times New Roman"/>
          <w:noProof/>
          <w:sz w:val="24"/>
          <w:szCs w:val="24"/>
        </w:rPr>
        <w:footnoteReference w:id="9"/>
      </w:r>
      <w:r w:rsidR="00F600F2" w:rsidRPr="00F600F2">
        <w:rPr>
          <w:rFonts w:ascii="Times New Roman" w:hAnsi="Times New Roman" w:cs="Times New Roman"/>
          <w:sz w:val="24"/>
          <w:szCs w:val="24"/>
        </w:rPr>
        <w:t xml:space="preserve">, which will expand the </w:t>
      </w:r>
      <w:r w:rsidR="00197C76">
        <w:rPr>
          <w:rFonts w:ascii="Times New Roman" w:hAnsi="Times New Roman" w:cs="Times New Roman"/>
          <w:sz w:val="24"/>
          <w:szCs w:val="24"/>
        </w:rPr>
        <w:t xml:space="preserve">legal </w:t>
      </w:r>
      <w:r w:rsidR="00F600F2" w:rsidRPr="00F600F2">
        <w:rPr>
          <w:rFonts w:ascii="Times New Roman" w:hAnsi="Times New Roman" w:cs="Times New Roman"/>
          <w:sz w:val="24"/>
          <w:szCs w:val="24"/>
        </w:rPr>
        <w:t xml:space="preserve">scope of </w:t>
      </w:r>
      <w:r w:rsidR="00197C76">
        <w:rPr>
          <w:rFonts w:ascii="Times New Roman" w:hAnsi="Times New Roman" w:cs="Times New Roman"/>
          <w:sz w:val="24"/>
          <w:szCs w:val="24"/>
        </w:rPr>
        <w:t xml:space="preserve">the </w:t>
      </w:r>
      <w:r w:rsidR="00F600F2" w:rsidRPr="00F600F2">
        <w:rPr>
          <w:rFonts w:ascii="Times New Roman" w:hAnsi="Times New Roman" w:cs="Times New Roman"/>
          <w:sz w:val="24"/>
          <w:szCs w:val="24"/>
        </w:rPr>
        <w:t>ecodesign</w:t>
      </w:r>
      <w:r w:rsidR="00197C76">
        <w:rPr>
          <w:rFonts w:ascii="Times New Roman" w:hAnsi="Times New Roman" w:cs="Times New Roman"/>
          <w:sz w:val="24"/>
          <w:szCs w:val="24"/>
        </w:rPr>
        <w:t xml:space="preserve"> framework</w:t>
      </w:r>
      <w:r w:rsidR="00F600F2" w:rsidRPr="00F600F2">
        <w:rPr>
          <w:rFonts w:ascii="Times New Roman" w:hAnsi="Times New Roman" w:cs="Times New Roman"/>
          <w:sz w:val="24"/>
          <w:szCs w:val="24"/>
        </w:rPr>
        <w:t xml:space="preserve"> from energy-related products to </w:t>
      </w:r>
      <w:r w:rsidR="00197C76">
        <w:rPr>
          <w:rFonts w:ascii="Times New Roman" w:hAnsi="Times New Roman" w:cs="Times New Roman"/>
          <w:sz w:val="24"/>
          <w:szCs w:val="24"/>
        </w:rPr>
        <w:t xml:space="preserve">potentially </w:t>
      </w:r>
      <w:r w:rsidR="00F600F2" w:rsidRPr="00F600F2">
        <w:rPr>
          <w:rFonts w:ascii="Times New Roman" w:hAnsi="Times New Roman" w:cs="Times New Roman"/>
          <w:sz w:val="24"/>
          <w:szCs w:val="24"/>
        </w:rPr>
        <w:t xml:space="preserve">any kind of physical good placed on the market, </w:t>
      </w:r>
      <w:r w:rsidR="00197C76">
        <w:rPr>
          <w:rFonts w:ascii="Times New Roman" w:hAnsi="Times New Roman" w:cs="Times New Roman"/>
          <w:sz w:val="24"/>
          <w:szCs w:val="24"/>
        </w:rPr>
        <w:t>subject to</w:t>
      </w:r>
      <w:r w:rsidR="00F600F2" w:rsidRPr="00F600F2">
        <w:rPr>
          <w:rFonts w:ascii="Times New Roman" w:hAnsi="Times New Roman" w:cs="Times New Roman"/>
          <w:sz w:val="24"/>
          <w:szCs w:val="24"/>
        </w:rPr>
        <w:t xml:space="preserve"> exceptions set out in the ESPR itself.</w:t>
      </w:r>
      <w:r w:rsidR="00F600F2">
        <w:t xml:space="preserve"> </w:t>
      </w:r>
      <w:r w:rsidR="00691604">
        <w:rPr>
          <w:rFonts w:ascii="Times New Roman" w:hAnsi="Times New Roman" w:cs="Times New Roman"/>
          <w:sz w:val="24"/>
          <w:szCs w:val="24"/>
        </w:rPr>
        <w:t xml:space="preserve">The second </w:t>
      </w:r>
      <w:r w:rsidR="00F600F2">
        <w:rPr>
          <w:rFonts w:ascii="Times New Roman" w:hAnsi="Times New Roman" w:cs="Times New Roman"/>
          <w:sz w:val="24"/>
          <w:szCs w:val="24"/>
        </w:rPr>
        <w:t xml:space="preserve">line of action </w:t>
      </w:r>
      <w:r w:rsidR="00691604">
        <w:rPr>
          <w:rFonts w:ascii="Times New Roman" w:hAnsi="Times New Roman" w:cs="Times New Roman"/>
          <w:sz w:val="24"/>
          <w:szCs w:val="24"/>
        </w:rPr>
        <w:t xml:space="preserve">is to modify </w:t>
      </w:r>
      <w:r w:rsidR="00F600F2">
        <w:rPr>
          <w:rFonts w:ascii="Times New Roman" w:hAnsi="Times New Roman" w:cs="Times New Roman"/>
          <w:sz w:val="24"/>
          <w:szCs w:val="24"/>
        </w:rPr>
        <w:t xml:space="preserve">existing </w:t>
      </w:r>
      <w:r w:rsidR="00A07ABE">
        <w:rPr>
          <w:rFonts w:ascii="Times New Roman" w:hAnsi="Times New Roman" w:cs="Times New Roman"/>
          <w:sz w:val="24"/>
          <w:szCs w:val="24"/>
        </w:rPr>
        <w:t>product-specific legislation</w:t>
      </w:r>
      <w:r w:rsidR="00D41E7E">
        <w:rPr>
          <w:rFonts w:ascii="Times New Roman" w:hAnsi="Times New Roman" w:cs="Times New Roman"/>
          <w:sz w:val="24"/>
          <w:szCs w:val="24"/>
        </w:rPr>
        <w:t>, on a case-by-case basis,</w:t>
      </w:r>
      <w:r w:rsidR="00691604">
        <w:rPr>
          <w:rFonts w:ascii="Times New Roman" w:hAnsi="Times New Roman" w:cs="Times New Roman"/>
          <w:sz w:val="24"/>
          <w:szCs w:val="24"/>
        </w:rPr>
        <w:t xml:space="preserve"> to address </w:t>
      </w:r>
      <w:r w:rsidR="00333B05">
        <w:rPr>
          <w:rFonts w:ascii="Times New Roman" w:hAnsi="Times New Roman" w:cs="Times New Roman"/>
          <w:sz w:val="24"/>
          <w:szCs w:val="24"/>
        </w:rPr>
        <w:t xml:space="preserve">product durability and </w:t>
      </w:r>
      <w:r w:rsidR="00A65759">
        <w:rPr>
          <w:rFonts w:ascii="Times New Roman" w:hAnsi="Times New Roman" w:cs="Times New Roman"/>
          <w:sz w:val="24"/>
          <w:szCs w:val="24"/>
        </w:rPr>
        <w:t>repairability</w:t>
      </w:r>
      <w:r w:rsidR="00333B05">
        <w:rPr>
          <w:rFonts w:ascii="Times New Roman" w:hAnsi="Times New Roman" w:cs="Times New Roman"/>
          <w:sz w:val="24"/>
          <w:szCs w:val="24"/>
        </w:rPr>
        <w:t xml:space="preserve">. </w:t>
      </w:r>
    </w:p>
    <w:p w14:paraId="0C4B6EA2" w14:textId="206E3C0A" w:rsidR="003210D8" w:rsidRDefault="00124E50" w:rsidP="00ED5E14">
      <w:pPr>
        <w:jc w:val="both"/>
        <w:rPr>
          <w:rFonts w:ascii="Times New Roman" w:hAnsi="Times New Roman" w:cs="Times New Roman"/>
          <w:sz w:val="24"/>
          <w:szCs w:val="24"/>
        </w:rPr>
      </w:pPr>
      <w:r>
        <w:rPr>
          <w:rFonts w:ascii="Times New Roman" w:hAnsi="Times New Roman" w:cs="Times New Roman"/>
          <w:sz w:val="24"/>
          <w:szCs w:val="24"/>
        </w:rPr>
        <w:t>Further, t</w:t>
      </w:r>
      <w:r w:rsidR="006052E6">
        <w:rPr>
          <w:rFonts w:ascii="Times New Roman" w:hAnsi="Times New Roman" w:cs="Times New Roman"/>
          <w:sz w:val="24"/>
          <w:szCs w:val="24"/>
        </w:rPr>
        <w:t>he Commission published on 30 March 2022 its Communication on making sustainable products the norm</w:t>
      </w:r>
      <w:r w:rsidR="006052E6">
        <w:rPr>
          <w:rStyle w:val="FootnoteReference"/>
          <w:rFonts w:ascii="Times New Roman" w:hAnsi="Times New Roman" w:cs="Times New Roman"/>
          <w:sz w:val="24"/>
          <w:szCs w:val="24"/>
        </w:rPr>
        <w:footnoteReference w:id="10"/>
      </w:r>
      <w:r w:rsidR="006052E6">
        <w:rPr>
          <w:rFonts w:ascii="Times New Roman" w:hAnsi="Times New Roman" w:cs="Times New Roman"/>
          <w:sz w:val="24"/>
          <w:szCs w:val="24"/>
        </w:rPr>
        <w:t>.</w:t>
      </w:r>
      <w:r w:rsidR="004C63E0">
        <w:rPr>
          <w:rFonts w:ascii="Times New Roman" w:hAnsi="Times New Roman" w:cs="Times New Roman"/>
          <w:sz w:val="24"/>
          <w:szCs w:val="24"/>
        </w:rPr>
        <w:t xml:space="preserve"> The Communication refers to the ESPR as the cornerstone of </w:t>
      </w:r>
      <w:r w:rsidR="004C63E0">
        <w:rPr>
          <w:rFonts w:ascii="Times New Roman" w:hAnsi="Times New Roman" w:cs="Times New Roman"/>
          <w:sz w:val="24"/>
          <w:szCs w:val="24"/>
        </w:rPr>
        <w:lastRenderedPageBreak/>
        <w:t>the Commission’s approach to more environmentally sustainable and circular products</w:t>
      </w:r>
      <w:r>
        <w:rPr>
          <w:rFonts w:ascii="Times New Roman" w:hAnsi="Times New Roman" w:cs="Times New Roman"/>
          <w:sz w:val="24"/>
          <w:szCs w:val="24"/>
        </w:rPr>
        <w:t xml:space="preserve">, indicating </w:t>
      </w:r>
      <w:r w:rsidR="004C63E0">
        <w:rPr>
          <w:rFonts w:ascii="Times New Roman" w:hAnsi="Times New Roman" w:cs="Times New Roman"/>
          <w:sz w:val="24"/>
          <w:szCs w:val="24"/>
        </w:rPr>
        <w:t xml:space="preserve">that the ESPR </w:t>
      </w:r>
      <w:r>
        <w:rPr>
          <w:rFonts w:ascii="Times New Roman" w:hAnsi="Times New Roman" w:cs="Times New Roman"/>
          <w:sz w:val="24"/>
          <w:szCs w:val="24"/>
        </w:rPr>
        <w:t>should not only be</w:t>
      </w:r>
      <w:r w:rsidR="004C63E0">
        <w:rPr>
          <w:rFonts w:ascii="Times New Roman" w:hAnsi="Times New Roman" w:cs="Times New Roman"/>
          <w:sz w:val="24"/>
          <w:szCs w:val="24"/>
        </w:rPr>
        <w:t xml:space="preserve"> a framework </w:t>
      </w:r>
      <w:r>
        <w:rPr>
          <w:rFonts w:ascii="Times New Roman" w:hAnsi="Times New Roman" w:cs="Times New Roman"/>
          <w:sz w:val="24"/>
          <w:szCs w:val="24"/>
        </w:rPr>
        <w:t xml:space="preserve">for </w:t>
      </w:r>
      <w:r w:rsidR="004C63E0">
        <w:rPr>
          <w:rFonts w:ascii="Times New Roman" w:hAnsi="Times New Roman" w:cs="Times New Roman"/>
          <w:sz w:val="24"/>
          <w:szCs w:val="24"/>
        </w:rPr>
        <w:t xml:space="preserve">setting requirements on how products should be made, but also </w:t>
      </w:r>
      <w:r>
        <w:rPr>
          <w:rFonts w:ascii="Times New Roman" w:hAnsi="Times New Roman" w:cs="Times New Roman"/>
          <w:sz w:val="24"/>
          <w:szCs w:val="24"/>
        </w:rPr>
        <w:t xml:space="preserve">on what </w:t>
      </w:r>
      <w:r w:rsidR="004C63E0">
        <w:rPr>
          <w:rFonts w:ascii="Times New Roman" w:hAnsi="Times New Roman" w:cs="Times New Roman"/>
          <w:sz w:val="24"/>
          <w:szCs w:val="24"/>
        </w:rPr>
        <w:t xml:space="preserve">information </w:t>
      </w:r>
      <w:r>
        <w:rPr>
          <w:rFonts w:ascii="Times New Roman" w:hAnsi="Times New Roman" w:cs="Times New Roman"/>
          <w:sz w:val="24"/>
          <w:szCs w:val="24"/>
        </w:rPr>
        <w:t>should</w:t>
      </w:r>
      <w:r w:rsidR="004C63E0">
        <w:rPr>
          <w:rFonts w:ascii="Times New Roman" w:hAnsi="Times New Roman" w:cs="Times New Roman"/>
          <w:sz w:val="24"/>
          <w:szCs w:val="24"/>
        </w:rPr>
        <w:t xml:space="preserve"> be provided </w:t>
      </w:r>
      <w:r>
        <w:rPr>
          <w:rFonts w:ascii="Times New Roman" w:hAnsi="Times New Roman" w:cs="Times New Roman"/>
          <w:sz w:val="24"/>
          <w:szCs w:val="24"/>
        </w:rPr>
        <w:t xml:space="preserve">to the consumer on </w:t>
      </w:r>
      <w:r w:rsidR="004C63E0">
        <w:rPr>
          <w:rFonts w:ascii="Times New Roman" w:hAnsi="Times New Roman" w:cs="Times New Roman"/>
          <w:sz w:val="24"/>
          <w:szCs w:val="24"/>
        </w:rPr>
        <w:t xml:space="preserve">the environmental sustainability of the products. </w:t>
      </w:r>
      <w:r w:rsidR="00E40E1C">
        <w:rPr>
          <w:rFonts w:ascii="Times New Roman" w:hAnsi="Times New Roman" w:cs="Times New Roman"/>
          <w:sz w:val="24"/>
          <w:szCs w:val="24"/>
        </w:rPr>
        <w:t>A</w:t>
      </w:r>
      <w:r w:rsidR="004C63E0">
        <w:rPr>
          <w:rFonts w:ascii="Times New Roman" w:hAnsi="Times New Roman" w:cs="Times New Roman"/>
          <w:sz w:val="24"/>
          <w:szCs w:val="24"/>
        </w:rPr>
        <w:t xml:space="preserve"> repa</w:t>
      </w:r>
      <w:r w:rsidR="00E40E1C">
        <w:rPr>
          <w:rFonts w:ascii="Times New Roman" w:hAnsi="Times New Roman" w:cs="Times New Roman"/>
          <w:sz w:val="24"/>
          <w:szCs w:val="24"/>
        </w:rPr>
        <w:t>i</w:t>
      </w:r>
      <w:r w:rsidR="004C63E0">
        <w:rPr>
          <w:rFonts w:ascii="Times New Roman" w:hAnsi="Times New Roman" w:cs="Times New Roman"/>
          <w:sz w:val="24"/>
          <w:szCs w:val="24"/>
        </w:rPr>
        <w:t>rability score is identified</w:t>
      </w:r>
      <w:r w:rsidR="006C166E">
        <w:rPr>
          <w:rFonts w:ascii="Times New Roman" w:hAnsi="Times New Roman" w:cs="Times New Roman"/>
          <w:sz w:val="24"/>
          <w:szCs w:val="24"/>
        </w:rPr>
        <w:t xml:space="preserve"> </w:t>
      </w:r>
      <w:r w:rsidR="00AC6559">
        <w:rPr>
          <w:rFonts w:ascii="Times New Roman" w:hAnsi="Times New Roman" w:cs="Times New Roman"/>
          <w:sz w:val="24"/>
          <w:szCs w:val="24"/>
        </w:rPr>
        <w:t>in</w:t>
      </w:r>
      <w:r w:rsidR="006C166E">
        <w:rPr>
          <w:rFonts w:ascii="Times New Roman" w:hAnsi="Times New Roman" w:cs="Times New Roman"/>
          <w:sz w:val="24"/>
          <w:szCs w:val="24"/>
        </w:rPr>
        <w:t xml:space="preserve"> the Communication</w:t>
      </w:r>
      <w:r w:rsidR="004C63E0">
        <w:rPr>
          <w:rFonts w:ascii="Times New Roman" w:hAnsi="Times New Roman" w:cs="Times New Roman"/>
          <w:sz w:val="24"/>
          <w:szCs w:val="24"/>
        </w:rPr>
        <w:t xml:space="preserve"> as one of the </w:t>
      </w:r>
      <w:r w:rsidR="00E40E1C">
        <w:rPr>
          <w:rFonts w:ascii="Times New Roman" w:hAnsi="Times New Roman" w:cs="Times New Roman"/>
          <w:sz w:val="24"/>
          <w:szCs w:val="24"/>
        </w:rPr>
        <w:t xml:space="preserve">possible </w:t>
      </w:r>
      <w:r w:rsidR="004C63E0">
        <w:rPr>
          <w:rFonts w:ascii="Times New Roman" w:hAnsi="Times New Roman" w:cs="Times New Roman"/>
          <w:sz w:val="24"/>
          <w:szCs w:val="24"/>
        </w:rPr>
        <w:t xml:space="preserve">means to provide that information. </w:t>
      </w:r>
    </w:p>
    <w:p w14:paraId="4FA1815B" w14:textId="1F416997" w:rsidR="0079143B" w:rsidRDefault="00B260B9" w:rsidP="00ED5E14">
      <w:pPr>
        <w:jc w:val="both"/>
        <w:rPr>
          <w:rFonts w:ascii="Times New Roman" w:hAnsi="Times New Roman" w:cs="Times New Roman"/>
          <w:sz w:val="24"/>
          <w:szCs w:val="24"/>
        </w:rPr>
      </w:pPr>
      <w:r>
        <w:rPr>
          <w:rFonts w:ascii="Times New Roman" w:hAnsi="Times New Roman" w:cs="Times New Roman"/>
          <w:sz w:val="24"/>
          <w:szCs w:val="24"/>
        </w:rPr>
        <w:t>I</w:t>
      </w:r>
      <w:r w:rsidR="003210D8">
        <w:rPr>
          <w:rFonts w:ascii="Times New Roman" w:hAnsi="Times New Roman" w:cs="Times New Roman"/>
          <w:sz w:val="24"/>
          <w:szCs w:val="24"/>
        </w:rPr>
        <w:t>n March 2023, the Commission adopted a proposal for a Directive on the repair of goods (t</w:t>
      </w:r>
      <w:r w:rsidR="0079143B">
        <w:rPr>
          <w:rFonts w:ascii="Times New Roman" w:hAnsi="Times New Roman" w:cs="Times New Roman"/>
          <w:sz w:val="24"/>
          <w:szCs w:val="24"/>
        </w:rPr>
        <w:t>he Right</w:t>
      </w:r>
      <w:r w:rsidR="00A25228">
        <w:rPr>
          <w:rFonts w:ascii="Times New Roman" w:hAnsi="Times New Roman" w:cs="Times New Roman"/>
          <w:sz w:val="24"/>
          <w:szCs w:val="24"/>
        </w:rPr>
        <w:t>-</w:t>
      </w:r>
      <w:r w:rsidR="0079143B">
        <w:rPr>
          <w:rFonts w:ascii="Times New Roman" w:hAnsi="Times New Roman" w:cs="Times New Roman"/>
          <w:sz w:val="24"/>
          <w:szCs w:val="24"/>
        </w:rPr>
        <w:t>to</w:t>
      </w:r>
      <w:r w:rsidR="00A25228">
        <w:rPr>
          <w:rFonts w:ascii="Times New Roman" w:hAnsi="Times New Roman" w:cs="Times New Roman"/>
          <w:sz w:val="24"/>
          <w:szCs w:val="24"/>
        </w:rPr>
        <w:t>-</w:t>
      </w:r>
      <w:r w:rsidR="0079143B">
        <w:rPr>
          <w:rFonts w:ascii="Times New Roman" w:hAnsi="Times New Roman" w:cs="Times New Roman"/>
          <w:sz w:val="24"/>
          <w:szCs w:val="24"/>
        </w:rPr>
        <w:t xml:space="preserve">repair </w:t>
      </w:r>
      <w:r w:rsidR="003210D8">
        <w:rPr>
          <w:rFonts w:ascii="Times New Roman" w:hAnsi="Times New Roman" w:cs="Times New Roman"/>
          <w:sz w:val="24"/>
          <w:szCs w:val="24"/>
        </w:rPr>
        <w:t>Directive)</w:t>
      </w:r>
      <w:r w:rsidR="00F71794">
        <w:rPr>
          <w:rFonts w:ascii="Times New Roman" w:hAnsi="Times New Roman" w:cs="Times New Roman"/>
          <w:sz w:val="24"/>
          <w:szCs w:val="24"/>
        </w:rPr>
        <w:t xml:space="preserve">, setting a set of common obligations to producers within and beyond the legal guarantee of the product. </w:t>
      </w:r>
    </w:p>
    <w:p w14:paraId="6AB6A94F" w14:textId="0F49DC6D" w:rsidR="00434FA6" w:rsidRDefault="00B260B9" w:rsidP="00B260B9">
      <w:pPr>
        <w:jc w:val="both"/>
        <w:rPr>
          <w:rFonts w:ascii="Times New Roman" w:hAnsi="Times New Roman" w:cs="Times New Roman"/>
          <w:sz w:val="24"/>
          <w:szCs w:val="24"/>
        </w:rPr>
      </w:pPr>
      <w:r>
        <w:rPr>
          <w:rFonts w:ascii="Times New Roman" w:hAnsi="Times New Roman" w:cs="Times New Roman"/>
          <w:sz w:val="24"/>
          <w:szCs w:val="24"/>
        </w:rPr>
        <w:t>There is consensus among stakeholders on the need to urgently develop a</w:t>
      </w:r>
      <w:r w:rsidR="001A659B">
        <w:rPr>
          <w:rFonts w:ascii="Times New Roman" w:hAnsi="Times New Roman" w:cs="Times New Roman"/>
          <w:sz w:val="24"/>
          <w:szCs w:val="24"/>
        </w:rPr>
        <w:t>n</w:t>
      </w:r>
      <w:r>
        <w:rPr>
          <w:rFonts w:ascii="Times New Roman" w:hAnsi="Times New Roman" w:cs="Times New Roman"/>
          <w:sz w:val="24"/>
          <w:szCs w:val="24"/>
        </w:rPr>
        <w:t xml:space="preserve"> </w:t>
      </w:r>
      <w:r w:rsidR="001A659B">
        <w:rPr>
          <w:rFonts w:ascii="Times New Roman" w:hAnsi="Times New Roman" w:cs="Times New Roman"/>
          <w:sz w:val="24"/>
          <w:szCs w:val="24"/>
        </w:rPr>
        <w:t xml:space="preserve">EU-wide </w:t>
      </w:r>
      <w:r>
        <w:rPr>
          <w:rFonts w:ascii="Times New Roman" w:hAnsi="Times New Roman" w:cs="Times New Roman"/>
          <w:sz w:val="24"/>
          <w:szCs w:val="24"/>
        </w:rPr>
        <w:t xml:space="preserve">repairability score </w:t>
      </w:r>
      <w:r w:rsidR="009D0D8E">
        <w:rPr>
          <w:rFonts w:ascii="Times New Roman" w:hAnsi="Times New Roman" w:cs="Times New Roman"/>
          <w:sz w:val="24"/>
          <w:szCs w:val="24"/>
        </w:rPr>
        <w:t xml:space="preserve">for tumble dryers to </w:t>
      </w:r>
      <w:r>
        <w:rPr>
          <w:rFonts w:ascii="Times New Roman" w:hAnsi="Times New Roman" w:cs="Times New Roman"/>
          <w:sz w:val="24"/>
          <w:szCs w:val="24"/>
        </w:rPr>
        <w:t>prevent</w:t>
      </w:r>
      <w:r w:rsidR="009D0D8E">
        <w:rPr>
          <w:rFonts w:ascii="Times New Roman" w:hAnsi="Times New Roman" w:cs="Times New Roman"/>
          <w:sz w:val="24"/>
          <w:szCs w:val="24"/>
        </w:rPr>
        <w:t xml:space="preserve"> fragmentation of the single market by</w:t>
      </w:r>
      <w:r>
        <w:rPr>
          <w:rFonts w:ascii="Times New Roman" w:hAnsi="Times New Roman" w:cs="Times New Roman"/>
          <w:sz w:val="24"/>
          <w:szCs w:val="24"/>
        </w:rPr>
        <w:t xml:space="preserve"> national initiatives</w:t>
      </w:r>
      <w:r w:rsidR="009D0D8E">
        <w:rPr>
          <w:rFonts w:ascii="Times New Roman" w:hAnsi="Times New Roman" w:cs="Times New Roman"/>
          <w:sz w:val="24"/>
          <w:szCs w:val="24"/>
        </w:rPr>
        <w:t xml:space="preserve"> with a similar aim</w:t>
      </w:r>
      <w:r>
        <w:rPr>
          <w:rFonts w:ascii="Times New Roman" w:hAnsi="Times New Roman" w:cs="Times New Roman"/>
          <w:sz w:val="24"/>
          <w:szCs w:val="24"/>
        </w:rPr>
        <w:t xml:space="preserve">. APPLiA, </w:t>
      </w:r>
      <w:r w:rsidR="009D0D8E">
        <w:rPr>
          <w:rFonts w:ascii="Times New Roman" w:hAnsi="Times New Roman" w:cs="Times New Roman"/>
          <w:sz w:val="24"/>
          <w:szCs w:val="24"/>
        </w:rPr>
        <w:t>the</w:t>
      </w:r>
      <w:r w:rsidR="009D0D8E" w:rsidRPr="009D0D8E">
        <w:rPr>
          <w:rFonts w:ascii="Times New Roman" w:hAnsi="Times New Roman" w:cs="Times New Roman"/>
          <w:sz w:val="24"/>
          <w:szCs w:val="24"/>
        </w:rPr>
        <w:t xml:space="preserve"> association that </w:t>
      </w:r>
      <w:r w:rsidR="009D0D8E">
        <w:rPr>
          <w:rFonts w:ascii="Times New Roman" w:hAnsi="Times New Roman" w:cs="Times New Roman"/>
          <w:sz w:val="24"/>
          <w:szCs w:val="24"/>
        </w:rPr>
        <w:t>represents</w:t>
      </w:r>
      <w:r w:rsidR="009D0D8E" w:rsidRPr="009D0D8E">
        <w:rPr>
          <w:rFonts w:ascii="Times New Roman" w:hAnsi="Times New Roman" w:cs="Times New Roman"/>
          <w:sz w:val="24"/>
          <w:szCs w:val="24"/>
        </w:rPr>
        <w:t xml:space="preserve"> the home appliance industry in </w:t>
      </w:r>
      <w:r>
        <w:rPr>
          <w:rFonts w:ascii="Times New Roman" w:hAnsi="Times New Roman" w:cs="Times New Roman"/>
          <w:sz w:val="24"/>
          <w:szCs w:val="24"/>
        </w:rPr>
        <w:t xml:space="preserve">in </w:t>
      </w:r>
      <w:r w:rsidR="009D0D8E" w:rsidRPr="009D0D8E">
        <w:rPr>
          <w:rFonts w:ascii="Times New Roman" w:hAnsi="Times New Roman" w:cs="Times New Roman"/>
          <w:sz w:val="24"/>
          <w:szCs w:val="24"/>
        </w:rPr>
        <w:t>Europe</w:t>
      </w:r>
      <w:r>
        <w:rPr>
          <w:rFonts w:ascii="Times New Roman" w:hAnsi="Times New Roman" w:cs="Times New Roman"/>
          <w:sz w:val="24"/>
          <w:szCs w:val="24"/>
        </w:rPr>
        <w:t xml:space="preserve">, has expressed support </w:t>
      </w:r>
      <w:r w:rsidR="001A659B">
        <w:rPr>
          <w:rFonts w:ascii="Times New Roman" w:hAnsi="Times New Roman" w:cs="Times New Roman"/>
          <w:sz w:val="24"/>
          <w:szCs w:val="24"/>
        </w:rPr>
        <w:t>to the implementation of a</w:t>
      </w:r>
      <w:r>
        <w:rPr>
          <w:rFonts w:ascii="Times New Roman" w:hAnsi="Times New Roman" w:cs="Times New Roman"/>
          <w:sz w:val="24"/>
          <w:szCs w:val="24"/>
        </w:rPr>
        <w:t xml:space="preserve"> repairability score</w:t>
      </w:r>
      <w:r w:rsidR="001A659B">
        <w:rPr>
          <w:rFonts w:ascii="Times New Roman" w:hAnsi="Times New Roman" w:cs="Times New Roman"/>
          <w:sz w:val="24"/>
          <w:szCs w:val="24"/>
        </w:rPr>
        <w:t xml:space="preserve"> in EU legislation</w:t>
      </w:r>
      <w:r w:rsidR="009D0D8E">
        <w:rPr>
          <w:rFonts w:ascii="Times New Roman" w:hAnsi="Times New Roman" w:cs="Times New Roman"/>
          <w:sz w:val="24"/>
          <w:szCs w:val="24"/>
        </w:rPr>
        <w:t xml:space="preserve"> in order to ad</w:t>
      </w:r>
      <w:r w:rsidR="00D976BE">
        <w:rPr>
          <w:rFonts w:ascii="Times New Roman" w:hAnsi="Times New Roman" w:cs="Times New Roman"/>
          <w:sz w:val="24"/>
          <w:szCs w:val="24"/>
        </w:rPr>
        <w:t>d</w:t>
      </w:r>
      <w:r w:rsidR="009D0D8E">
        <w:rPr>
          <w:rFonts w:ascii="Times New Roman" w:hAnsi="Times New Roman" w:cs="Times New Roman"/>
          <w:sz w:val="24"/>
          <w:szCs w:val="24"/>
        </w:rPr>
        <w:t>ress</w:t>
      </w:r>
      <w:r>
        <w:rPr>
          <w:rFonts w:ascii="Times New Roman" w:hAnsi="Times New Roman" w:cs="Times New Roman"/>
          <w:sz w:val="24"/>
          <w:szCs w:val="24"/>
        </w:rPr>
        <w:t xml:space="preserve"> concerns about </w:t>
      </w:r>
      <w:r w:rsidR="009D0D8E">
        <w:rPr>
          <w:rFonts w:ascii="Times New Roman" w:hAnsi="Times New Roman" w:cs="Times New Roman"/>
          <w:sz w:val="24"/>
          <w:szCs w:val="24"/>
        </w:rPr>
        <w:t xml:space="preserve">similar initiatives </w:t>
      </w:r>
      <w:r>
        <w:rPr>
          <w:rFonts w:ascii="Times New Roman" w:hAnsi="Times New Roman" w:cs="Times New Roman"/>
          <w:sz w:val="24"/>
          <w:szCs w:val="24"/>
        </w:rPr>
        <w:t xml:space="preserve">at national level </w:t>
      </w:r>
      <w:r w:rsidR="00FF5E9A">
        <w:rPr>
          <w:rFonts w:ascii="Times New Roman" w:hAnsi="Times New Roman" w:cs="Times New Roman"/>
          <w:sz w:val="24"/>
          <w:szCs w:val="24"/>
        </w:rPr>
        <w:t>that,</w:t>
      </w:r>
      <w:r w:rsidR="0000024D">
        <w:rPr>
          <w:rFonts w:ascii="Times New Roman" w:hAnsi="Times New Roman" w:cs="Times New Roman"/>
          <w:sz w:val="24"/>
          <w:szCs w:val="24"/>
        </w:rPr>
        <w:t xml:space="preserve"> </w:t>
      </w:r>
      <w:r w:rsidR="00AF5D2A">
        <w:rPr>
          <w:rFonts w:ascii="Times New Roman" w:hAnsi="Times New Roman" w:cs="Times New Roman"/>
          <w:sz w:val="24"/>
          <w:szCs w:val="24"/>
        </w:rPr>
        <w:t>by setting diverging rules</w:t>
      </w:r>
      <w:r w:rsidR="00FF5E9A">
        <w:rPr>
          <w:rFonts w:ascii="Times New Roman" w:hAnsi="Times New Roman" w:cs="Times New Roman"/>
          <w:sz w:val="24"/>
          <w:szCs w:val="24"/>
        </w:rPr>
        <w:t>,</w:t>
      </w:r>
      <w:r w:rsidR="00AF5D2A">
        <w:rPr>
          <w:rFonts w:ascii="Times New Roman" w:hAnsi="Times New Roman" w:cs="Times New Roman"/>
          <w:sz w:val="24"/>
          <w:szCs w:val="24"/>
        </w:rPr>
        <w:t xml:space="preserve"> </w:t>
      </w:r>
      <w:r w:rsidR="00FF5E9A">
        <w:rPr>
          <w:rFonts w:ascii="Times New Roman" w:hAnsi="Times New Roman" w:cs="Times New Roman"/>
          <w:sz w:val="24"/>
          <w:szCs w:val="24"/>
        </w:rPr>
        <w:t xml:space="preserve">will </w:t>
      </w:r>
      <w:r w:rsidR="001A659B">
        <w:rPr>
          <w:rFonts w:ascii="Times New Roman" w:hAnsi="Times New Roman" w:cs="Times New Roman"/>
          <w:sz w:val="24"/>
          <w:szCs w:val="24"/>
        </w:rPr>
        <w:t>risk increasing</w:t>
      </w:r>
      <w:r w:rsidR="0000024D">
        <w:rPr>
          <w:rFonts w:ascii="Times New Roman" w:hAnsi="Times New Roman" w:cs="Times New Roman"/>
          <w:sz w:val="24"/>
          <w:szCs w:val="24"/>
        </w:rPr>
        <w:t xml:space="preserve"> compliance costs for manufacturers and suppliers, and subsequently prices for consumers</w:t>
      </w:r>
      <w:r>
        <w:rPr>
          <w:rFonts w:ascii="Times New Roman" w:hAnsi="Times New Roman" w:cs="Times New Roman"/>
          <w:sz w:val="24"/>
          <w:szCs w:val="24"/>
        </w:rPr>
        <w:t xml:space="preserve">. Member States and NGOs have </w:t>
      </w:r>
      <w:r w:rsidR="009D0D8E">
        <w:rPr>
          <w:rFonts w:ascii="Times New Roman" w:hAnsi="Times New Roman" w:cs="Times New Roman"/>
          <w:sz w:val="24"/>
          <w:szCs w:val="24"/>
        </w:rPr>
        <w:t xml:space="preserve">likewise insisted </w:t>
      </w:r>
      <w:r>
        <w:rPr>
          <w:rFonts w:ascii="Times New Roman" w:hAnsi="Times New Roman" w:cs="Times New Roman"/>
          <w:sz w:val="24"/>
          <w:szCs w:val="24"/>
        </w:rPr>
        <w:t xml:space="preserve">the Commission present a repairability score to inform the consumer at the sales point, within the shortest possible delay. </w:t>
      </w:r>
      <w:r w:rsidR="00434FA6">
        <w:rPr>
          <w:rFonts w:ascii="Times New Roman" w:hAnsi="Times New Roman" w:cs="Times New Roman"/>
          <w:sz w:val="24"/>
          <w:szCs w:val="24"/>
        </w:rPr>
        <w:t>Delegated Regulation (EU) 2023/</w:t>
      </w:r>
      <w:r w:rsidR="00481000">
        <w:rPr>
          <w:rFonts w:ascii="Times New Roman" w:hAnsi="Times New Roman" w:cs="Times New Roman"/>
          <w:sz w:val="24"/>
          <w:szCs w:val="24"/>
        </w:rPr>
        <w:t>2534</w:t>
      </w:r>
      <w:r w:rsidR="00434FA6">
        <w:rPr>
          <w:rFonts w:ascii="Times New Roman" w:hAnsi="Times New Roman" w:cs="Times New Roman"/>
          <w:sz w:val="24"/>
          <w:szCs w:val="24"/>
        </w:rPr>
        <w:t xml:space="preserve"> reflects </w:t>
      </w:r>
      <w:r w:rsidR="00FF5E9A">
        <w:rPr>
          <w:rFonts w:ascii="Times New Roman" w:hAnsi="Times New Roman" w:cs="Times New Roman"/>
          <w:sz w:val="24"/>
          <w:szCs w:val="24"/>
        </w:rPr>
        <w:t>such</w:t>
      </w:r>
      <w:r w:rsidR="00434FA6">
        <w:rPr>
          <w:rFonts w:ascii="Times New Roman" w:hAnsi="Times New Roman" w:cs="Times New Roman"/>
          <w:sz w:val="24"/>
          <w:szCs w:val="24"/>
        </w:rPr>
        <w:t xml:space="preserve"> urgency, by </w:t>
      </w:r>
      <w:r w:rsidR="009D0D8E">
        <w:rPr>
          <w:rFonts w:ascii="Times New Roman" w:hAnsi="Times New Roman" w:cs="Times New Roman"/>
          <w:sz w:val="24"/>
          <w:szCs w:val="24"/>
        </w:rPr>
        <w:t xml:space="preserve">requiring </w:t>
      </w:r>
      <w:r w:rsidR="00434FA6">
        <w:rPr>
          <w:rFonts w:ascii="Times New Roman" w:hAnsi="Times New Roman" w:cs="Times New Roman"/>
          <w:sz w:val="24"/>
          <w:szCs w:val="24"/>
        </w:rPr>
        <w:t xml:space="preserve">the Commission to </w:t>
      </w:r>
      <w:r w:rsidR="00FF5E9A">
        <w:rPr>
          <w:rFonts w:ascii="Times New Roman" w:hAnsi="Times New Roman" w:cs="Times New Roman"/>
          <w:sz w:val="24"/>
          <w:szCs w:val="24"/>
        </w:rPr>
        <w:t>present a proposal to the Consultation Forum</w:t>
      </w:r>
      <w:r w:rsidR="00434FA6">
        <w:rPr>
          <w:rFonts w:ascii="Times New Roman" w:hAnsi="Times New Roman" w:cs="Times New Roman"/>
          <w:sz w:val="24"/>
          <w:szCs w:val="24"/>
        </w:rPr>
        <w:t xml:space="preserve"> </w:t>
      </w:r>
      <w:r w:rsidR="00947D6A">
        <w:rPr>
          <w:rFonts w:ascii="Times New Roman" w:hAnsi="Times New Roman" w:cs="Times New Roman"/>
          <w:sz w:val="24"/>
          <w:szCs w:val="24"/>
        </w:rPr>
        <w:t>no later than 1 January 2025, this is</w:t>
      </w:r>
      <w:r w:rsidR="00434FA6">
        <w:rPr>
          <w:rFonts w:ascii="Times New Roman" w:hAnsi="Times New Roman" w:cs="Times New Roman"/>
          <w:sz w:val="24"/>
          <w:szCs w:val="24"/>
        </w:rPr>
        <w:t xml:space="preserve"> 5 years earlier than the deadline set out in the Regulation for the overall legislative review. </w:t>
      </w:r>
    </w:p>
    <w:p w14:paraId="6BA9BF81" w14:textId="1BABB666" w:rsidR="005C6257" w:rsidRDefault="005C6257" w:rsidP="001A222E">
      <w:pPr>
        <w:pStyle w:val="Heading2"/>
      </w:pPr>
      <w:r>
        <w:t xml:space="preserve">Legal </w:t>
      </w:r>
      <w:r w:rsidR="00BD4818">
        <w:t>basis</w:t>
      </w:r>
      <w:r>
        <w:t xml:space="preserve"> </w:t>
      </w:r>
      <w:r w:rsidR="00C51955">
        <w:t>and legal context</w:t>
      </w:r>
    </w:p>
    <w:p w14:paraId="705C4CA0" w14:textId="22475A7A" w:rsidR="001A222E" w:rsidRDefault="00B95691" w:rsidP="005C6257">
      <w:pPr>
        <w:spacing w:after="120"/>
        <w:jc w:val="both"/>
        <w:rPr>
          <w:rFonts w:ascii="Times New Roman" w:hAnsi="Times New Roman" w:cs="Times New Roman"/>
          <w:sz w:val="24"/>
          <w:szCs w:val="24"/>
        </w:rPr>
      </w:pPr>
      <w:r>
        <w:rPr>
          <w:rFonts w:ascii="Times New Roman" w:hAnsi="Times New Roman" w:cs="Times New Roman"/>
          <w:sz w:val="24"/>
          <w:szCs w:val="24"/>
        </w:rPr>
        <w:t xml:space="preserve">Article 16(1) of </w:t>
      </w:r>
      <w:r w:rsidR="001A222E">
        <w:rPr>
          <w:rFonts w:ascii="Times New Roman" w:hAnsi="Times New Roman" w:cs="Times New Roman"/>
          <w:sz w:val="24"/>
          <w:szCs w:val="24"/>
        </w:rPr>
        <w:t xml:space="preserve">Regulation </w:t>
      </w:r>
      <w:r>
        <w:rPr>
          <w:rFonts w:ascii="Times New Roman" w:hAnsi="Times New Roman" w:cs="Times New Roman"/>
          <w:sz w:val="24"/>
          <w:szCs w:val="24"/>
        </w:rPr>
        <w:t>(EU) 2017/1369</w:t>
      </w:r>
      <w:r w:rsidR="000E26A0">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empowers the Commission to adopt delegated acts by establishing detailed requirements relating to labels for specific product groups. Article 16(3) </w:t>
      </w:r>
      <w:r w:rsidR="00914091">
        <w:rPr>
          <w:rFonts w:ascii="Times New Roman" w:hAnsi="Times New Roman" w:cs="Times New Roman"/>
          <w:sz w:val="24"/>
          <w:szCs w:val="24"/>
        </w:rPr>
        <w:t xml:space="preserve">sets out </w:t>
      </w:r>
      <w:r>
        <w:rPr>
          <w:rFonts w:ascii="Times New Roman" w:hAnsi="Times New Roman" w:cs="Times New Roman"/>
          <w:sz w:val="24"/>
          <w:szCs w:val="24"/>
        </w:rPr>
        <w:t xml:space="preserve">that Delegated acts shall specify, where appropriate, the display on the label of supplementary information concerning the product, in a way that this supplementary information does not have a negative impact on the clear intelligibility and effectiveness of the label as a whole towards consumers and emphasising the energy efficiency of the product. </w:t>
      </w:r>
      <w:r w:rsidR="0001022C">
        <w:rPr>
          <w:rFonts w:ascii="Times New Roman" w:hAnsi="Times New Roman" w:cs="Times New Roman"/>
          <w:sz w:val="24"/>
          <w:szCs w:val="24"/>
        </w:rPr>
        <w:t>It also requires the Commission to present proposals to rescale existing energy labels in accordance with the new A-G scale in accordance with the framework regulation.</w:t>
      </w:r>
    </w:p>
    <w:p w14:paraId="10EB3008" w14:textId="062C4709" w:rsidR="005C6257" w:rsidRPr="00C51955" w:rsidRDefault="0001022C" w:rsidP="005C6257">
      <w:pPr>
        <w:spacing w:after="120"/>
        <w:jc w:val="both"/>
        <w:rPr>
          <w:rFonts w:ascii="Times New Roman" w:hAnsi="Times New Roman" w:cs="Times New Roman"/>
          <w:sz w:val="24"/>
          <w:szCs w:val="24"/>
        </w:rPr>
      </w:pPr>
      <w:r>
        <w:rPr>
          <w:rFonts w:ascii="Times New Roman" w:hAnsi="Times New Roman" w:cs="Times New Roman"/>
          <w:sz w:val="24"/>
          <w:szCs w:val="24"/>
        </w:rPr>
        <w:t xml:space="preserve">A general review was also foreseen in </w:t>
      </w:r>
      <w:r w:rsidR="005C6257" w:rsidRPr="00C51955">
        <w:rPr>
          <w:rFonts w:ascii="Times New Roman" w:hAnsi="Times New Roman" w:cs="Times New Roman"/>
          <w:sz w:val="24"/>
          <w:szCs w:val="24"/>
        </w:rPr>
        <w:t>Article 7 of</w:t>
      </w:r>
      <w:r w:rsidR="006346D7">
        <w:rPr>
          <w:rFonts w:ascii="Times New Roman" w:hAnsi="Times New Roman" w:cs="Times New Roman"/>
          <w:sz w:val="24"/>
          <w:szCs w:val="24"/>
        </w:rPr>
        <w:t xml:space="preserve"> </w:t>
      </w:r>
      <w:r w:rsidR="006346D7" w:rsidRPr="006346D7">
        <w:rPr>
          <w:rFonts w:ascii="Times New Roman" w:hAnsi="Times New Roman" w:cs="Times New Roman"/>
          <w:sz w:val="24"/>
          <w:szCs w:val="24"/>
        </w:rPr>
        <w:t>Delegated Regulation (EU) No 392/2012</w:t>
      </w:r>
      <w:r w:rsidR="005C6257" w:rsidRPr="00C51955">
        <w:rPr>
          <w:rStyle w:val="FootnoteReference"/>
          <w:rFonts w:ascii="Times New Roman" w:hAnsi="Times New Roman" w:cs="Times New Roman"/>
          <w:sz w:val="24"/>
          <w:szCs w:val="24"/>
        </w:rPr>
        <w:footnoteReference w:id="12"/>
      </w:r>
      <w:r w:rsidR="005C6257" w:rsidRPr="00C5195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881CDD">
        <w:rPr>
          <w:rFonts w:ascii="Times New Roman" w:hAnsi="Times New Roman" w:cs="Times New Roman"/>
          <w:sz w:val="24"/>
          <w:szCs w:val="24"/>
        </w:rPr>
        <w:t>required</w:t>
      </w:r>
      <w:r w:rsidR="00881CDD" w:rsidRPr="00C51955">
        <w:rPr>
          <w:rFonts w:ascii="Times New Roman" w:hAnsi="Times New Roman" w:cs="Times New Roman"/>
          <w:sz w:val="24"/>
          <w:szCs w:val="24"/>
        </w:rPr>
        <w:t xml:space="preserve"> </w:t>
      </w:r>
      <w:r w:rsidR="005C6257" w:rsidRPr="00C51955">
        <w:rPr>
          <w:rFonts w:ascii="Times New Roman" w:hAnsi="Times New Roman" w:cs="Times New Roman"/>
          <w:sz w:val="24"/>
          <w:szCs w:val="24"/>
        </w:rPr>
        <w:t xml:space="preserve">the </w:t>
      </w:r>
      <w:r w:rsidR="001A1EDC">
        <w:rPr>
          <w:rFonts w:ascii="Times New Roman" w:hAnsi="Times New Roman" w:cs="Times New Roman"/>
          <w:sz w:val="24"/>
          <w:szCs w:val="24"/>
        </w:rPr>
        <w:t xml:space="preserve">Commission to review the </w:t>
      </w:r>
      <w:r w:rsidR="006346D7">
        <w:rPr>
          <w:rFonts w:ascii="Times New Roman" w:hAnsi="Times New Roman" w:cs="Times New Roman"/>
          <w:sz w:val="24"/>
          <w:szCs w:val="24"/>
        </w:rPr>
        <w:t>Regulation</w:t>
      </w:r>
      <w:r w:rsidR="001A1EDC">
        <w:rPr>
          <w:rFonts w:ascii="Times New Roman" w:hAnsi="Times New Roman" w:cs="Times New Roman"/>
          <w:sz w:val="24"/>
          <w:szCs w:val="24"/>
        </w:rPr>
        <w:t xml:space="preserve"> by June 2017 </w:t>
      </w:r>
      <w:r>
        <w:rPr>
          <w:rFonts w:ascii="Times New Roman" w:hAnsi="Times New Roman" w:cs="Times New Roman"/>
          <w:sz w:val="24"/>
          <w:szCs w:val="24"/>
        </w:rPr>
        <w:t xml:space="preserve">Accordingly, </w:t>
      </w:r>
      <w:r w:rsidR="006346D7">
        <w:rPr>
          <w:rFonts w:ascii="Times New Roman" w:hAnsi="Times New Roman" w:cs="Times New Roman"/>
          <w:sz w:val="24"/>
          <w:szCs w:val="24"/>
        </w:rPr>
        <w:t xml:space="preserve">a new </w:t>
      </w:r>
      <w:r w:rsidR="004F020E">
        <w:rPr>
          <w:rFonts w:ascii="Times New Roman" w:hAnsi="Times New Roman" w:cs="Times New Roman"/>
          <w:sz w:val="24"/>
          <w:szCs w:val="24"/>
        </w:rPr>
        <w:t xml:space="preserve">Regulation </w:t>
      </w:r>
      <w:r w:rsidR="00EB0C34">
        <w:rPr>
          <w:rFonts w:ascii="Times New Roman" w:hAnsi="Times New Roman" w:cs="Times New Roman"/>
          <w:sz w:val="24"/>
          <w:szCs w:val="24"/>
        </w:rPr>
        <w:t xml:space="preserve">(EU) </w:t>
      </w:r>
      <w:r w:rsidR="00947D6A" w:rsidRPr="00947D6A">
        <w:rPr>
          <w:rFonts w:ascii="Times New Roman" w:hAnsi="Times New Roman" w:cs="Times New Roman"/>
          <w:sz w:val="24"/>
          <w:szCs w:val="24"/>
        </w:rPr>
        <w:t>2023</w:t>
      </w:r>
      <w:r w:rsidR="00EB0C34" w:rsidRPr="00947D6A">
        <w:rPr>
          <w:rFonts w:ascii="Times New Roman" w:hAnsi="Times New Roman" w:cs="Times New Roman"/>
          <w:sz w:val="24"/>
          <w:szCs w:val="24"/>
        </w:rPr>
        <w:t>/</w:t>
      </w:r>
      <w:r w:rsidR="00947D6A">
        <w:rPr>
          <w:rFonts w:ascii="Times New Roman" w:hAnsi="Times New Roman" w:cs="Times New Roman"/>
          <w:sz w:val="24"/>
          <w:szCs w:val="24"/>
        </w:rPr>
        <w:t>2534</w:t>
      </w:r>
      <w:r w:rsidR="00EB0C34">
        <w:rPr>
          <w:rFonts w:ascii="Times New Roman" w:hAnsi="Times New Roman" w:cs="Times New Roman"/>
          <w:sz w:val="24"/>
          <w:szCs w:val="24"/>
        </w:rPr>
        <w:t xml:space="preserve"> </w:t>
      </w:r>
      <w:r w:rsidR="004F020E">
        <w:rPr>
          <w:rFonts w:ascii="Times New Roman" w:hAnsi="Times New Roman" w:cs="Times New Roman"/>
          <w:sz w:val="24"/>
          <w:szCs w:val="24"/>
        </w:rPr>
        <w:t>was adopted</w:t>
      </w:r>
      <w:r w:rsidR="001A1EDC">
        <w:rPr>
          <w:rFonts w:ascii="Times New Roman" w:hAnsi="Times New Roman" w:cs="Times New Roman"/>
          <w:sz w:val="24"/>
          <w:szCs w:val="24"/>
        </w:rPr>
        <w:t xml:space="preserve"> on</w:t>
      </w:r>
      <w:r w:rsidR="004F020E">
        <w:rPr>
          <w:rFonts w:ascii="Times New Roman" w:hAnsi="Times New Roman" w:cs="Times New Roman"/>
          <w:sz w:val="24"/>
          <w:szCs w:val="24"/>
        </w:rPr>
        <w:t xml:space="preserve"> energy labelling for tumble dryers and repealing Delegated Regulation (EU) No 392/2021. </w:t>
      </w:r>
    </w:p>
    <w:p w14:paraId="111B79E3" w14:textId="0B663F91" w:rsidR="005C6257" w:rsidRPr="005C6257" w:rsidRDefault="00434FA6" w:rsidP="005C6257">
      <w:pPr>
        <w:jc w:val="both"/>
        <w:rPr>
          <w:rFonts w:ascii="Times New Roman" w:hAnsi="Times New Roman" w:cs="Times New Roman"/>
          <w:sz w:val="24"/>
          <w:szCs w:val="24"/>
        </w:rPr>
      </w:pPr>
      <w:r>
        <w:rPr>
          <w:rFonts w:ascii="Times New Roman" w:hAnsi="Times New Roman" w:cs="Times New Roman"/>
          <w:sz w:val="24"/>
          <w:szCs w:val="24"/>
        </w:rPr>
        <w:t xml:space="preserve">As indicated in point 2.1, </w:t>
      </w:r>
      <w:r w:rsidR="00EB0C34">
        <w:rPr>
          <w:rFonts w:ascii="Times New Roman" w:hAnsi="Times New Roman" w:cs="Times New Roman"/>
          <w:sz w:val="24"/>
          <w:szCs w:val="24"/>
        </w:rPr>
        <w:t xml:space="preserve">Article 7(2) of </w:t>
      </w:r>
      <w:r w:rsidR="0013380F">
        <w:rPr>
          <w:rFonts w:ascii="Times New Roman" w:hAnsi="Times New Roman" w:cs="Times New Roman"/>
          <w:sz w:val="24"/>
          <w:szCs w:val="24"/>
        </w:rPr>
        <w:t xml:space="preserve">Delegated Regulation </w:t>
      </w:r>
      <w:r w:rsidR="00EB0C34">
        <w:rPr>
          <w:rFonts w:ascii="Times New Roman" w:hAnsi="Times New Roman" w:cs="Times New Roman"/>
          <w:sz w:val="24"/>
          <w:szCs w:val="24"/>
        </w:rPr>
        <w:t xml:space="preserve">(EU) </w:t>
      </w:r>
      <w:r w:rsidR="00947D6A" w:rsidRPr="00947D6A">
        <w:rPr>
          <w:rFonts w:ascii="Times New Roman" w:hAnsi="Times New Roman" w:cs="Times New Roman"/>
          <w:sz w:val="24"/>
          <w:szCs w:val="24"/>
        </w:rPr>
        <w:t>2023</w:t>
      </w:r>
      <w:r w:rsidR="00EB0C34" w:rsidRPr="00947D6A">
        <w:rPr>
          <w:rFonts w:ascii="Times New Roman" w:hAnsi="Times New Roman" w:cs="Times New Roman"/>
          <w:sz w:val="24"/>
          <w:szCs w:val="24"/>
        </w:rPr>
        <w:t>/</w:t>
      </w:r>
      <w:r w:rsidR="00947D6A">
        <w:rPr>
          <w:rFonts w:ascii="Times New Roman" w:hAnsi="Times New Roman" w:cs="Times New Roman"/>
          <w:sz w:val="24"/>
          <w:szCs w:val="24"/>
        </w:rPr>
        <w:t xml:space="preserve">2534 </w:t>
      </w:r>
      <w:r w:rsidR="00EB0C34">
        <w:rPr>
          <w:rFonts w:ascii="Times New Roman" w:hAnsi="Times New Roman" w:cs="Times New Roman"/>
          <w:sz w:val="24"/>
          <w:szCs w:val="24"/>
        </w:rPr>
        <w:t xml:space="preserve">sets out the obligation for the Commission to present the Consultation Forum a reparability score for household tumble dryers and, if appropriate, a draft legal proposal no later than </w:t>
      </w:r>
      <w:r w:rsidR="0001022C">
        <w:rPr>
          <w:rFonts w:ascii="Times New Roman" w:hAnsi="Times New Roman" w:cs="Times New Roman"/>
          <w:sz w:val="24"/>
          <w:szCs w:val="24"/>
        </w:rPr>
        <w:t>1 January 202</w:t>
      </w:r>
      <w:r w:rsidR="00947D6A">
        <w:rPr>
          <w:rFonts w:ascii="Times New Roman" w:hAnsi="Times New Roman" w:cs="Times New Roman"/>
          <w:sz w:val="24"/>
          <w:szCs w:val="24"/>
        </w:rPr>
        <w:t>5</w:t>
      </w:r>
      <w:r w:rsidR="00EB0C34">
        <w:rPr>
          <w:rFonts w:ascii="Times New Roman" w:hAnsi="Times New Roman" w:cs="Times New Roman"/>
          <w:sz w:val="24"/>
          <w:szCs w:val="24"/>
        </w:rPr>
        <w:t xml:space="preserve">. </w:t>
      </w:r>
      <w:r w:rsidR="001A222E">
        <w:rPr>
          <w:rFonts w:ascii="Times New Roman" w:hAnsi="Times New Roman" w:cs="Times New Roman"/>
          <w:sz w:val="24"/>
          <w:szCs w:val="24"/>
        </w:rPr>
        <w:lastRenderedPageBreak/>
        <w:t xml:space="preserve">The repairability score </w:t>
      </w:r>
      <w:r w:rsidR="00F241A1">
        <w:rPr>
          <w:rFonts w:ascii="Times New Roman" w:hAnsi="Times New Roman" w:cs="Times New Roman"/>
          <w:sz w:val="24"/>
          <w:szCs w:val="24"/>
        </w:rPr>
        <w:t xml:space="preserve">for tumble dryers </w:t>
      </w:r>
      <w:r w:rsidR="0001022C">
        <w:rPr>
          <w:rFonts w:ascii="Times New Roman" w:hAnsi="Times New Roman" w:cs="Times New Roman"/>
          <w:sz w:val="24"/>
          <w:szCs w:val="24"/>
        </w:rPr>
        <w:t xml:space="preserve">should </w:t>
      </w:r>
      <w:r w:rsidR="0013380F">
        <w:rPr>
          <w:rFonts w:ascii="Times New Roman" w:hAnsi="Times New Roman" w:cs="Times New Roman"/>
          <w:sz w:val="24"/>
          <w:szCs w:val="24"/>
        </w:rPr>
        <w:t xml:space="preserve">therefore </w:t>
      </w:r>
      <w:r w:rsidR="001A222E">
        <w:rPr>
          <w:rFonts w:ascii="Times New Roman" w:hAnsi="Times New Roman" w:cs="Times New Roman"/>
          <w:sz w:val="24"/>
          <w:szCs w:val="24"/>
        </w:rPr>
        <w:t xml:space="preserve">be </w:t>
      </w:r>
      <w:r w:rsidR="004C7A84">
        <w:rPr>
          <w:rFonts w:ascii="Times New Roman" w:hAnsi="Times New Roman" w:cs="Times New Roman"/>
          <w:sz w:val="24"/>
          <w:szCs w:val="24"/>
        </w:rPr>
        <w:t>adopted</w:t>
      </w:r>
      <w:r w:rsidR="001A222E">
        <w:rPr>
          <w:rFonts w:ascii="Times New Roman" w:hAnsi="Times New Roman" w:cs="Times New Roman"/>
          <w:sz w:val="24"/>
          <w:szCs w:val="24"/>
        </w:rPr>
        <w:t xml:space="preserve"> </w:t>
      </w:r>
      <w:r w:rsidR="001A1EDC">
        <w:rPr>
          <w:rFonts w:ascii="Times New Roman" w:hAnsi="Times New Roman" w:cs="Times New Roman"/>
          <w:sz w:val="24"/>
          <w:szCs w:val="24"/>
        </w:rPr>
        <w:t>as</w:t>
      </w:r>
      <w:r w:rsidR="000E26A0">
        <w:rPr>
          <w:rFonts w:ascii="Times New Roman" w:hAnsi="Times New Roman" w:cs="Times New Roman"/>
          <w:sz w:val="24"/>
          <w:szCs w:val="24"/>
        </w:rPr>
        <w:t xml:space="preserve"> an amendment to </w:t>
      </w:r>
      <w:r w:rsidR="001A1EDC">
        <w:rPr>
          <w:rFonts w:ascii="Times New Roman" w:hAnsi="Times New Roman" w:cs="Times New Roman"/>
          <w:sz w:val="24"/>
          <w:szCs w:val="24"/>
        </w:rPr>
        <w:t xml:space="preserve">Regulation </w:t>
      </w:r>
      <w:r w:rsidR="00947D6A">
        <w:rPr>
          <w:rFonts w:ascii="Times New Roman" w:hAnsi="Times New Roman" w:cs="Times New Roman"/>
          <w:sz w:val="24"/>
          <w:szCs w:val="24"/>
        </w:rPr>
        <w:t>2023</w:t>
      </w:r>
      <w:r w:rsidR="001A1EDC">
        <w:rPr>
          <w:rFonts w:ascii="Times New Roman" w:hAnsi="Times New Roman" w:cs="Times New Roman"/>
          <w:sz w:val="24"/>
          <w:szCs w:val="24"/>
        </w:rPr>
        <w:t>/</w:t>
      </w:r>
      <w:r w:rsidR="00947D6A">
        <w:rPr>
          <w:rFonts w:ascii="Times New Roman" w:hAnsi="Times New Roman" w:cs="Times New Roman"/>
          <w:sz w:val="24"/>
          <w:szCs w:val="24"/>
        </w:rPr>
        <w:t>2534.</w:t>
      </w:r>
      <w:r w:rsidR="001A1EDC">
        <w:rPr>
          <w:rFonts w:ascii="Times New Roman" w:hAnsi="Times New Roman" w:cs="Times New Roman"/>
          <w:sz w:val="24"/>
          <w:szCs w:val="24"/>
        </w:rPr>
        <w:t xml:space="preserve"> </w:t>
      </w:r>
    </w:p>
    <w:p w14:paraId="3671A1BB" w14:textId="5593022D" w:rsidR="006829B4" w:rsidRPr="00F92EAE" w:rsidRDefault="00921F97" w:rsidP="001A222E">
      <w:pPr>
        <w:pStyle w:val="Heading2"/>
      </w:pPr>
      <w:r>
        <w:t>Societal</w:t>
      </w:r>
      <w:r w:rsidR="00703852">
        <w:t xml:space="preserve"> </w:t>
      </w:r>
      <w:r w:rsidR="001A222E">
        <w:t>context</w:t>
      </w:r>
    </w:p>
    <w:p w14:paraId="5B36BB83" w14:textId="19653408" w:rsidR="00EC0705" w:rsidRDefault="00EC0705" w:rsidP="007F6754">
      <w:pPr>
        <w:jc w:val="both"/>
        <w:rPr>
          <w:rFonts w:ascii="Times New Roman" w:hAnsi="Times New Roman" w:cs="Times New Roman"/>
          <w:sz w:val="24"/>
          <w:szCs w:val="24"/>
        </w:rPr>
      </w:pPr>
      <w:r>
        <w:rPr>
          <w:rFonts w:ascii="Times New Roman" w:hAnsi="Times New Roman" w:cs="Times New Roman"/>
          <w:sz w:val="24"/>
          <w:szCs w:val="24"/>
        </w:rPr>
        <w:t xml:space="preserve">Designing a product according to circular economy criteria </w:t>
      </w:r>
      <w:r w:rsidR="005C4152">
        <w:rPr>
          <w:rFonts w:ascii="Times New Roman" w:hAnsi="Times New Roman" w:cs="Times New Roman"/>
          <w:sz w:val="24"/>
          <w:szCs w:val="24"/>
        </w:rPr>
        <w:t xml:space="preserve">is </w:t>
      </w:r>
      <w:r w:rsidR="00A25228">
        <w:rPr>
          <w:rFonts w:ascii="Times New Roman" w:hAnsi="Times New Roman" w:cs="Times New Roman"/>
          <w:sz w:val="24"/>
          <w:szCs w:val="24"/>
        </w:rPr>
        <w:t xml:space="preserve">a matter of growing interest in </w:t>
      </w:r>
      <w:r w:rsidR="005C4152">
        <w:rPr>
          <w:rFonts w:ascii="Times New Roman" w:hAnsi="Times New Roman" w:cs="Times New Roman"/>
          <w:sz w:val="24"/>
          <w:szCs w:val="24"/>
        </w:rPr>
        <w:t>society</w:t>
      </w:r>
      <w:r w:rsidR="0079143B">
        <w:rPr>
          <w:rFonts w:ascii="Times New Roman" w:hAnsi="Times New Roman" w:cs="Times New Roman"/>
          <w:sz w:val="24"/>
          <w:szCs w:val="24"/>
        </w:rPr>
        <w:t xml:space="preserve">. </w:t>
      </w:r>
      <w:r w:rsidR="005C4152">
        <w:rPr>
          <w:rFonts w:ascii="Times New Roman" w:hAnsi="Times New Roman" w:cs="Times New Roman"/>
          <w:sz w:val="24"/>
          <w:szCs w:val="24"/>
        </w:rPr>
        <w:t>A Eurobarometer</w:t>
      </w:r>
      <w:r>
        <w:rPr>
          <w:rFonts w:ascii="Times New Roman" w:hAnsi="Times New Roman" w:cs="Times New Roman"/>
          <w:sz w:val="24"/>
          <w:szCs w:val="24"/>
        </w:rPr>
        <w:t xml:space="preserve"> published in October 2022 showed that most of Europeans are in favour of </w:t>
      </w:r>
      <w:r w:rsidR="00392BC3">
        <w:rPr>
          <w:rFonts w:ascii="Times New Roman" w:hAnsi="Times New Roman" w:cs="Times New Roman"/>
          <w:sz w:val="24"/>
          <w:szCs w:val="24"/>
        </w:rPr>
        <w:t xml:space="preserve">policies </w:t>
      </w:r>
      <w:r>
        <w:rPr>
          <w:rFonts w:ascii="Times New Roman" w:hAnsi="Times New Roman" w:cs="Times New Roman"/>
          <w:sz w:val="24"/>
          <w:szCs w:val="24"/>
        </w:rPr>
        <w:t xml:space="preserve">encouraging industry to adopt more circular and sustainable practices. </w:t>
      </w:r>
      <w:r w:rsidR="00B63482">
        <w:rPr>
          <w:rFonts w:ascii="Times New Roman" w:hAnsi="Times New Roman" w:cs="Times New Roman"/>
          <w:sz w:val="24"/>
          <w:szCs w:val="24"/>
        </w:rPr>
        <w:t xml:space="preserve">Several </w:t>
      </w:r>
      <w:r w:rsidR="00392BC3">
        <w:rPr>
          <w:rFonts w:ascii="Times New Roman" w:hAnsi="Times New Roman" w:cs="Times New Roman"/>
          <w:sz w:val="24"/>
          <w:szCs w:val="24"/>
        </w:rPr>
        <w:t xml:space="preserve">EU </w:t>
      </w:r>
      <w:r w:rsidR="00B63482">
        <w:rPr>
          <w:rFonts w:ascii="Times New Roman" w:hAnsi="Times New Roman" w:cs="Times New Roman"/>
          <w:sz w:val="24"/>
          <w:szCs w:val="24"/>
        </w:rPr>
        <w:t>environmental and consumer organisations have put circular economy in the centre of their priorities</w:t>
      </w:r>
      <w:r w:rsidR="00392BC3">
        <w:rPr>
          <w:rFonts w:ascii="Times New Roman" w:hAnsi="Times New Roman" w:cs="Times New Roman"/>
          <w:sz w:val="24"/>
          <w:szCs w:val="24"/>
        </w:rPr>
        <w:t>, and industry supports such efforts particularly when pursued at EU level</w:t>
      </w:r>
      <w:r w:rsidR="00B63482">
        <w:rPr>
          <w:rFonts w:ascii="Times New Roman" w:hAnsi="Times New Roman" w:cs="Times New Roman"/>
          <w:sz w:val="24"/>
          <w:szCs w:val="24"/>
        </w:rPr>
        <w:t xml:space="preserve">. </w:t>
      </w:r>
    </w:p>
    <w:p w14:paraId="0E82EBEE" w14:textId="5D103ED7" w:rsidR="00A25ADD" w:rsidRDefault="0079143B" w:rsidP="007F6754">
      <w:pPr>
        <w:jc w:val="both"/>
        <w:rPr>
          <w:rFonts w:ascii="Times New Roman" w:hAnsi="Times New Roman" w:cs="Times New Roman"/>
          <w:sz w:val="24"/>
          <w:szCs w:val="24"/>
        </w:rPr>
      </w:pPr>
      <w:r>
        <w:rPr>
          <w:rFonts w:ascii="Times New Roman" w:hAnsi="Times New Roman" w:cs="Times New Roman"/>
          <w:sz w:val="24"/>
          <w:szCs w:val="24"/>
        </w:rPr>
        <w:t xml:space="preserve">The public consultation </w:t>
      </w:r>
      <w:r w:rsidR="00A25228">
        <w:rPr>
          <w:rFonts w:ascii="Times New Roman" w:hAnsi="Times New Roman" w:cs="Times New Roman"/>
          <w:sz w:val="24"/>
          <w:szCs w:val="24"/>
        </w:rPr>
        <w:t>published</w:t>
      </w:r>
      <w:r>
        <w:rPr>
          <w:rFonts w:ascii="Times New Roman" w:hAnsi="Times New Roman" w:cs="Times New Roman"/>
          <w:sz w:val="24"/>
          <w:szCs w:val="24"/>
        </w:rPr>
        <w:t xml:space="preserve"> by the European Commission </w:t>
      </w:r>
      <w:r w:rsidR="005C4152">
        <w:rPr>
          <w:rFonts w:ascii="Times New Roman" w:hAnsi="Times New Roman" w:cs="Times New Roman"/>
          <w:sz w:val="24"/>
          <w:szCs w:val="24"/>
        </w:rPr>
        <w:t>on</w:t>
      </w:r>
      <w:r>
        <w:rPr>
          <w:rFonts w:ascii="Times New Roman" w:hAnsi="Times New Roman" w:cs="Times New Roman"/>
          <w:sz w:val="24"/>
          <w:szCs w:val="24"/>
        </w:rPr>
        <w:t xml:space="preserve"> the proposal </w:t>
      </w:r>
      <w:r w:rsidR="005C4152">
        <w:rPr>
          <w:rFonts w:ascii="Times New Roman" w:hAnsi="Times New Roman" w:cs="Times New Roman"/>
          <w:sz w:val="24"/>
          <w:szCs w:val="24"/>
        </w:rPr>
        <w:t>for the</w:t>
      </w:r>
      <w:r>
        <w:rPr>
          <w:rFonts w:ascii="Times New Roman" w:hAnsi="Times New Roman" w:cs="Times New Roman"/>
          <w:sz w:val="24"/>
          <w:szCs w:val="24"/>
        </w:rPr>
        <w:t xml:space="preserve"> Right-to-repair Directive, </w:t>
      </w:r>
      <w:r w:rsidR="00A25228">
        <w:rPr>
          <w:rFonts w:ascii="Times New Roman" w:hAnsi="Times New Roman" w:cs="Times New Roman"/>
          <w:sz w:val="24"/>
          <w:szCs w:val="24"/>
        </w:rPr>
        <w:t>shows</w:t>
      </w:r>
      <w:r>
        <w:rPr>
          <w:rFonts w:ascii="Times New Roman" w:hAnsi="Times New Roman" w:cs="Times New Roman"/>
          <w:sz w:val="24"/>
          <w:szCs w:val="24"/>
        </w:rPr>
        <w:t xml:space="preserve"> that consumer</w:t>
      </w:r>
      <w:r w:rsidR="005C4152">
        <w:rPr>
          <w:rFonts w:ascii="Times New Roman" w:hAnsi="Times New Roman" w:cs="Times New Roman"/>
          <w:sz w:val="24"/>
          <w:szCs w:val="24"/>
        </w:rPr>
        <w:t>s</w:t>
      </w:r>
      <w:r>
        <w:rPr>
          <w:rFonts w:ascii="Times New Roman" w:hAnsi="Times New Roman" w:cs="Times New Roman"/>
          <w:sz w:val="24"/>
          <w:szCs w:val="24"/>
        </w:rPr>
        <w:t xml:space="preserve"> </w:t>
      </w:r>
      <w:r w:rsidR="005C4152">
        <w:rPr>
          <w:rFonts w:ascii="Times New Roman" w:hAnsi="Times New Roman" w:cs="Times New Roman"/>
          <w:sz w:val="24"/>
          <w:szCs w:val="24"/>
        </w:rPr>
        <w:t>are</w:t>
      </w:r>
      <w:r>
        <w:rPr>
          <w:rFonts w:ascii="Times New Roman" w:hAnsi="Times New Roman" w:cs="Times New Roman"/>
          <w:sz w:val="24"/>
          <w:szCs w:val="24"/>
        </w:rPr>
        <w:t xml:space="preserve"> in general aware of the shorter lifetime of products</w:t>
      </w:r>
      <w:r w:rsidR="00B74C3D">
        <w:rPr>
          <w:rFonts w:ascii="Times New Roman" w:hAnsi="Times New Roman" w:cs="Times New Roman"/>
          <w:sz w:val="24"/>
          <w:szCs w:val="24"/>
        </w:rPr>
        <w:t xml:space="preserve">. </w:t>
      </w:r>
      <w:r w:rsidR="00A25228">
        <w:rPr>
          <w:rFonts w:ascii="Times New Roman" w:hAnsi="Times New Roman" w:cs="Times New Roman"/>
          <w:sz w:val="24"/>
          <w:szCs w:val="24"/>
        </w:rPr>
        <w:t>The difficulties to self-repair and the high repair costs were among the main causes explaining that shorter lifetime</w:t>
      </w:r>
      <w:r w:rsidR="00B063AC">
        <w:rPr>
          <w:rFonts w:ascii="Times New Roman" w:hAnsi="Times New Roman" w:cs="Times New Roman"/>
          <w:sz w:val="24"/>
          <w:szCs w:val="24"/>
        </w:rPr>
        <w:t xml:space="preserve">. </w:t>
      </w:r>
      <w:r w:rsidR="00145B7F">
        <w:rPr>
          <w:rFonts w:ascii="Times New Roman" w:hAnsi="Times New Roman" w:cs="Times New Roman"/>
          <w:sz w:val="24"/>
          <w:szCs w:val="24"/>
        </w:rPr>
        <w:t xml:space="preserve">Most of the respondents </w:t>
      </w:r>
      <w:r w:rsidR="00A25228">
        <w:rPr>
          <w:rFonts w:ascii="Times New Roman" w:hAnsi="Times New Roman" w:cs="Times New Roman"/>
          <w:sz w:val="24"/>
          <w:szCs w:val="24"/>
        </w:rPr>
        <w:t xml:space="preserve">also </w:t>
      </w:r>
      <w:r w:rsidR="00145B7F">
        <w:rPr>
          <w:rFonts w:ascii="Times New Roman" w:hAnsi="Times New Roman" w:cs="Times New Roman"/>
          <w:sz w:val="24"/>
          <w:szCs w:val="24"/>
        </w:rPr>
        <w:t xml:space="preserve">considered that repair should be prioritised </w:t>
      </w:r>
      <w:r w:rsidR="005C4152">
        <w:rPr>
          <w:rFonts w:ascii="Times New Roman" w:hAnsi="Times New Roman" w:cs="Times New Roman"/>
          <w:sz w:val="24"/>
          <w:szCs w:val="24"/>
        </w:rPr>
        <w:t xml:space="preserve">in public policies </w:t>
      </w:r>
      <w:r w:rsidR="00145B7F">
        <w:rPr>
          <w:rFonts w:ascii="Times New Roman" w:hAnsi="Times New Roman" w:cs="Times New Roman"/>
          <w:sz w:val="24"/>
          <w:szCs w:val="24"/>
        </w:rPr>
        <w:t xml:space="preserve">whenever </w:t>
      </w:r>
      <w:r w:rsidR="00392BC3">
        <w:rPr>
          <w:rFonts w:ascii="Times New Roman" w:hAnsi="Times New Roman" w:cs="Times New Roman"/>
          <w:sz w:val="24"/>
          <w:szCs w:val="24"/>
        </w:rPr>
        <w:t xml:space="preserve">it </w:t>
      </w:r>
      <w:r w:rsidR="00145B7F">
        <w:rPr>
          <w:rFonts w:ascii="Times New Roman" w:hAnsi="Times New Roman" w:cs="Times New Roman"/>
          <w:sz w:val="24"/>
          <w:szCs w:val="24"/>
        </w:rPr>
        <w:t xml:space="preserve">is cheaper or at the same cost as replacement. </w:t>
      </w:r>
    </w:p>
    <w:p w14:paraId="679EB392" w14:textId="64EB2F5D" w:rsidR="00A25228" w:rsidRDefault="00A25228" w:rsidP="00A25228">
      <w:pPr>
        <w:jc w:val="both"/>
        <w:rPr>
          <w:rFonts w:ascii="Times New Roman" w:hAnsi="Times New Roman" w:cs="Times New Roman"/>
          <w:sz w:val="24"/>
          <w:szCs w:val="24"/>
        </w:rPr>
      </w:pPr>
      <w:r>
        <w:rPr>
          <w:rFonts w:ascii="Times New Roman" w:hAnsi="Times New Roman" w:cs="Times New Roman"/>
          <w:sz w:val="24"/>
          <w:szCs w:val="24"/>
        </w:rPr>
        <w:t xml:space="preserve">The </w:t>
      </w:r>
      <w:r w:rsidR="004A1529">
        <w:rPr>
          <w:rFonts w:ascii="Times New Roman" w:hAnsi="Times New Roman" w:cs="Times New Roman"/>
          <w:sz w:val="24"/>
          <w:szCs w:val="24"/>
        </w:rPr>
        <w:t>review</w:t>
      </w:r>
      <w:r>
        <w:rPr>
          <w:rFonts w:ascii="Times New Roman" w:hAnsi="Times New Roman" w:cs="Times New Roman"/>
          <w:sz w:val="24"/>
          <w:szCs w:val="24"/>
        </w:rPr>
        <w:t xml:space="preserve"> study on </w:t>
      </w:r>
      <w:r w:rsidR="004A1529">
        <w:rPr>
          <w:rFonts w:ascii="Times New Roman" w:hAnsi="Times New Roman" w:cs="Times New Roman"/>
          <w:sz w:val="24"/>
          <w:szCs w:val="24"/>
        </w:rPr>
        <w:t xml:space="preserve">household </w:t>
      </w:r>
      <w:r>
        <w:rPr>
          <w:rFonts w:ascii="Times New Roman" w:hAnsi="Times New Roman" w:cs="Times New Roman"/>
          <w:sz w:val="24"/>
          <w:szCs w:val="24"/>
        </w:rPr>
        <w:t>tumble dryers</w:t>
      </w:r>
      <w:r w:rsidR="004A1529">
        <w:rPr>
          <w:rStyle w:val="FootnoteReference"/>
          <w:rFonts w:ascii="Times New Roman" w:hAnsi="Times New Roman" w:cs="Times New Roman"/>
          <w:sz w:val="24"/>
          <w:szCs w:val="24"/>
        </w:rPr>
        <w:footnoteReference w:id="13"/>
      </w:r>
      <w:r w:rsidR="004A1529">
        <w:rPr>
          <w:rFonts w:ascii="Times New Roman" w:hAnsi="Times New Roman" w:cs="Times New Roman"/>
          <w:sz w:val="24"/>
          <w:szCs w:val="24"/>
        </w:rPr>
        <w:t xml:space="preserve"> from May 2019</w:t>
      </w:r>
      <w:r>
        <w:rPr>
          <w:rFonts w:ascii="Times New Roman" w:hAnsi="Times New Roman" w:cs="Times New Roman"/>
          <w:sz w:val="24"/>
          <w:szCs w:val="24"/>
        </w:rPr>
        <w:t xml:space="preserve"> investigated the likeliness for consumer repair, finding that approximately 35% of the consumers would for sure repair their tumble dryers, and that an additional 40% would probably repair.</w:t>
      </w:r>
    </w:p>
    <w:p w14:paraId="727FFA5C" w14:textId="1290FDE7" w:rsidR="00A25228" w:rsidRDefault="00CF015B" w:rsidP="00A25228">
      <w:pPr>
        <w:jc w:val="both"/>
        <w:rPr>
          <w:rFonts w:ascii="Times New Roman" w:hAnsi="Times New Roman" w:cs="Times New Roman"/>
          <w:sz w:val="24"/>
          <w:szCs w:val="24"/>
        </w:rPr>
      </w:pPr>
      <w:r>
        <w:rPr>
          <w:rFonts w:ascii="Times New Roman" w:hAnsi="Times New Roman" w:cs="Times New Roman"/>
          <w:sz w:val="24"/>
          <w:szCs w:val="24"/>
        </w:rPr>
        <w:t xml:space="preserve">In response to the growing interest </w:t>
      </w:r>
      <w:r w:rsidR="00392BC3">
        <w:rPr>
          <w:rFonts w:ascii="Times New Roman" w:hAnsi="Times New Roman" w:cs="Times New Roman"/>
          <w:sz w:val="24"/>
          <w:szCs w:val="24"/>
        </w:rPr>
        <w:t>in</w:t>
      </w:r>
      <w:r>
        <w:rPr>
          <w:rFonts w:ascii="Times New Roman" w:hAnsi="Times New Roman" w:cs="Times New Roman"/>
          <w:sz w:val="24"/>
          <w:szCs w:val="24"/>
        </w:rPr>
        <w:t xml:space="preserve"> repair</w:t>
      </w:r>
      <w:r w:rsidR="00392BC3">
        <w:rPr>
          <w:rFonts w:ascii="Times New Roman" w:hAnsi="Times New Roman" w:cs="Times New Roman"/>
          <w:sz w:val="24"/>
          <w:szCs w:val="24"/>
        </w:rPr>
        <w:t>ing</w:t>
      </w:r>
      <w:r>
        <w:rPr>
          <w:rFonts w:ascii="Times New Roman" w:hAnsi="Times New Roman" w:cs="Times New Roman"/>
          <w:sz w:val="24"/>
          <w:szCs w:val="24"/>
        </w:rPr>
        <w:t xml:space="preserve"> products, s</w:t>
      </w:r>
      <w:r w:rsidR="00A25228">
        <w:rPr>
          <w:rFonts w:ascii="Times New Roman" w:hAnsi="Times New Roman" w:cs="Times New Roman"/>
          <w:sz w:val="24"/>
          <w:szCs w:val="24"/>
        </w:rPr>
        <w:t xml:space="preserve">everal studies </w:t>
      </w:r>
      <w:r>
        <w:rPr>
          <w:rFonts w:ascii="Times New Roman" w:hAnsi="Times New Roman" w:cs="Times New Roman"/>
          <w:sz w:val="24"/>
          <w:szCs w:val="24"/>
        </w:rPr>
        <w:t xml:space="preserve">on repairability </w:t>
      </w:r>
      <w:r w:rsidR="0071284B">
        <w:rPr>
          <w:rFonts w:ascii="Times New Roman" w:hAnsi="Times New Roman" w:cs="Times New Roman"/>
          <w:sz w:val="24"/>
          <w:szCs w:val="24"/>
        </w:rPr>
        <w:t>have been conducted or are undergoing</w:t>
      </w:r>
      <w:r w:rsidR="00A25228">
        <w:rPr>
          <w:rFonts w:ascii="Times New Roman" w:hAnsi="Times New Roman" w:cs="Times New Roman"/>
          <w:sz w:val="24"/>
          <w:szCs w:val="24"/>
        </w:rPr>
        <w:t>. In 2019, the Joint Research Centre published the report Analysis and development of a scoring system for repair and upgrade of products</w:t>
      </w:r>
      <w:r w:rsidR="00ED5D41">
        <w:rPr>
          <w:rStyle w:val="FootnoteReference"/>
          <w:rFonts w:ascii="Times New Roman" w:hAnsi="Times New Roman" w:cs="Times New Roman"/>
          <w:sz w:val="24"/>
          <w:szCs w:val="24"/>
        </w:rPr>
        <w:footnoteReference w:id="14"/>
      </w:r>
      <w:r w:rsidR="00ED5D41">
        <w:rPr>
          <w:rFonts w:ascii="Times New Roman" w:hAnsi="Times New Roman" w:cs="Times New Roman"/>
          <w:sz w:val="24"/>
          <w:szCs w:val="24"/>
        </w:rPr>
        <w:t xml:space="preserve"> (henceforth “the JRC repairability study”)</w:t>
      </w:r>
      <w:r w:rsidR="00AB2D4F">
        <w:rPr>
          <w:rFonts w:ascii="Times New Roman" w:hAnsi="Times New Roman" w:cs="Times New Roman"/>
          <w:sz w:val="24"/>
          <w:szCs w:val="24"/>
        </w:rPr>
        <w:t xml:space="preserve">, based </w:t>
      </w:r>
      <w:r w:rsidR="00A25228">
        <w:rPr>
          <w:rFonts w:ascii="Times New Roman" w:hAnsi="Times New Roman" w:cs="Times New Roman"/>
          <w:sz w:val="24"/>
          <w:szCs w:val="24"/>
        </w:rPr>
        <w:t xml:space="preserve">on three elements: the selection of </w:t>
      </w:r>
      <w:r w:rsidR="00AB2D4F">
        <w:rPr>
          <w:rFonts w:ascii="Times New Roman" w:hAnsi="Times New Roman" w:cs="Times New Roman"/>
          <w:sz w:val="24"/>
          <w:szCs w:val="24"/>
        </w:rPr>
        <w:t>critical</w:t>
      </w:r>
      <w:r w:rsidR="00A25228">
        <w:rPr>
          <w:rFonts w:ascii="Times New Roman" w:hAnsi="Times New Roman" w:cs="Times New Roman"/>
          <w:sz w:val="24"/>
          <w:szCs w:val="24"/>
        </w:rPr>
        <w:t xml:space="preserve"> components, called priority parts, a set of key parameters against which the performance of each priority part would be assessed</w:t>
      </w:r>
      <w:r w:rsidR="00AB2D4F">
        <w:rPr>
          <w:rFonts w:ascii="Times New Roman" w:hAnsi="Times New Roman" w:cs="Times New Roman"/>
          <w:sz w:val="24"/>
          <w:szCs w:val="24"/>
        </w:rPr>
        <w:t>,</w:t>
      </w:r>
      <w:r w:rsidR="00A25228">
        <w:rPr>
          <w:rFonts w:ascii="Times New Roman" w:hAnsi="Times New Roman" w:cs="Times New Roman"/>
          <w:sz w:val="24"/>
          <w:szCs w:val="24"/>
        </w:rPr>
        <w:t xml:space="preserve"> and a scoring framework setting out the scores corresponding to each parameter. In 2022, the German Environmental Agency published a study</w:t>
      </w:r>
      <w:r w:rsidR="00ED5D41">
        <w:rPr>
          <w:rStyle w:val="FootnoteReference"/>
          <w:rFonts w:ascii="Times New Roman" w:hAnsi="Times New Roman" w:cs="Times New Roman"/>
          <w:sz w:val="24"/>
          <w:szCs w:val="24"/>
        </w:rPr>
        <w:footnoteReference w:id="15"/>
      </w:r>
      <w:r w:rsidR="00ED5D41">
        <w:rPr>
          <w:rFonts w:ascii="Times New Roman" w:hAnsi="Times New Roman" w:cs="Times New Roman"/>
          <w:sz w:val="24"/>
          <w:szCs w:val="24"/>
        </w:rPr>
        <w:t xml:space="preserve"> (henceforth “the German repairability study”)</w:t>
      </w:r>
      <w:r w:rsidR="00A25228">
        <w:rPr>
          <w:rFonts w:ascii="Times New Roman" w:hAnsi="Times New Roman" w:cs="Times New Roman"/>
          <w:sz w:val="24"/>
          <w:szCs w:val="24"/>
        </w:rPr>
        <w:t xml:space="preserve"> on a repairability score adapted to two products groups: printers and tumble dryers. In this study, relevant spare parts were selected for each product group, and the repairability score was calculated for a significant number of different models of printers and tumble dryers placed on the market. </w:t>
      </w:r>
    </w:p>
    <w:p w14:paraId="3E9E9974" w14:textId="2AD99DD9" w:rsidR="006829B4" w:rsidRPr="00F92EAE" w:rsidRDefault="001A222E" w:rsidP="006829B4">
      <w:pPr>
        <w:pStyle w:val="Heading1"/>
      </w:pPr>
      <w:r>
        <w:t xml:space="preserve">Subsidiarity. </w:t>
      </w:r>
      <w:r w:rsidR="006829B4">
        <w:t>Necessity of acting on repairability at EU level</w:t>
      </w:r>
    </w:p>
    <w:p w14:paraId="5D4A04DF" w14:textId="32774099" w:rsidR="00EE6E20" w:rsidRDefault="00B260B9" w:rsidP="00EE6E20">
      <w:pPr>
        <w:jc w:val="both"/>
        <w:rPr>
          <w:rFonts w:ascii="Times New Roman" w:hAnsi="Times New Roman" w:cs="Times New Roman"/>
          <w:sz w:val="24"/>
          <w:szCs w:val="24"/>
        </w:rPr>
      </w:pPr>
      <w:r>
        <w:rPr>
          <w:rFonts w:ascii="Times New Roman" w:hAnsi="Times New Roman" w:cs="Times New Roman"/>
          <w:sz w:val="24"/>
          <w:szCs w:val="24"/>
        </w:rPr>
        <w:t>As indicated in point 2.1, in p</w:t>
      </w:r>
      <w:r w:rsidR="00CE06A5">
        <w:rPr>
          <w:rFonts w:ascii="Times New Roman" w:hAnsi="Times New Roman" w:cs="Times New Roman"/>
          <w:sz w:val="24"/>
          <w:szCs w:val="24"/>
        </w:rPr>
        <w:t>arallel to</w:t>
      </w:r>
      <w:r w:rsidR="00EE6E20">
        <w:rPr>
          <w:rFonts w:ascii="Times New Roman" w:hAnsi="Times New Roman" w:cs="Times New Roman"/>
          <w:sz w:val="24"/>
          <w:szCs w:val="24"/>
        </w:rPr>
        <w:t xml:space="preserve"> the growing interest </w:t>
      </w:r>
      <w:r w:rsidR="00187017">
        <w:rPr>
          <w:rFonts w:ascii="Times New Roman" w:hAnsi="Times New Roman" w:cs="Times New Roman"/>
          <w:sz w:val="24"/>
          <w:szCs w:val="24"/>
        </w:rPr>
        <w:t>i</w:t>
      </w:r>
      <w:r w:rsidR="00EE6E20">
        <w:rPr>
          <w:rFonts w:ascii="Times New Roman" w:hAnsi="Times New Roman" w:cs="Times New Roman"/>
          <w:sz w:val="24"/>
          <w:szCs w:val="24"/>
        </w:rPr>
        <w:t xml:space="preserve">n repairability, </w:t>
      </w:r>
      <w:r w:rsidR="00CE06A5">
        <w:rPr>
          <w:rFonts w:ascii="Times New Roman" w:hAnsi="Times New Roman" w:cs="Times New Roman"/>
          <w:sz w:val="24"/>
          <w:szCs w:val="24"/>
        </w:rPr>
        <w:t>s</w:t>
      </w:r>
      <w:r w:rsidR="00EE6E20">
        <w:rPr>
          <w:rFonts w:ascii="Times New Roman" w:hAnsi="Times New Roman" w:cs="Times New Roman"/>
          <w:sz w:val="24"/>
          <w:szCs w:val="24"/>
        </w:rPr>
        <w:t xml:space="preserve">ome Member States are developing </w:t>
      </w:r>
      <w:r w:rsidR="00CE06A5">
        <w:rPr>
          <w:rFonts w:ascii="Times New Roman" w:hAnsi="Times New Roman" w:cs="Times New Roman"/>
          <w:sz w:val="24"/>
          <w:szCs w:val="24"/>
        </w:rPr>
        <w:t xml:space="preserve">their own repairability </w:t>
      </w:r>
      <w:r w:rsidR="00EE6E20">
        <w:rPr>
          <w:rFonts w:ascii="Times New Roman" w:hAnsi="Times New Roman" w:cs="Times New Roman"/>
          <w:sz w:val="24"/>
          <w:szCs w:val="24"/>
        </w:rPr>
        <w:t xml:space="preserve">scores for specific products. </w:t>
      </w:r>
      <w:r w:rsidR="005B0C4F">
        <w:rPr>
          <w:rFonts w:ascii="Times New Roman" w:hAnsi="Times New Roman" w:cs="Times New Roman"/>
          <w:sz w:val="24"/>
          <w:szCs w:val="24"/>
        </w:rPr>
        <w:t xml:space="preserve">In January 2021, France introduced a repairability index for five product groups. </w:t>
      </w:r>
      <w:r w:rsidR="009D4157">
        <w:rPr>
          <w:rFonts w:ascii="Times New Roman" w:hAnsi="Times New Roman" w:cs="Times New Roman"/>
          <w:sz w:val="24"/>
          <w:szCs w:val="24"/>
        </w:rPr>
        <w:t xml:space="preserve">A </w:t>
      </w:r>
      <w:r w:rsidR="00187017">
        <w:rPr>
          <w:rFonts w:ascii="Times New Roman" w:hAnsi="Times New Roman" w:cs="Times New Roman"/>
          <w:sz w:val="24"/>
          <w:szCs w:val="24"/>
        </w:rPr>
        <w:t xml:space="preserve">framework for </w:t>
      </w:r>
      <w:r w:rsidR="005B0C4F">
        <w:rPr>
          <w:rFonts w:ascii="Times New Roman" w:hAnsi="Times New Roman" w:cs="Times New Roman"/>
          <w:sz w:val="24"/>
          <w:szCs w:val="24"/>
        </w:rPr>
        <w:t xml:space="preserve">similar action </w:t>
      </w:r>
      <w:r w:rsidR="009D4157">
        <w:rPr>
          <w:rFonts w:ascii="Times New Roman" w:hAnsi="Times New Roman" w:cs="Times New Roman"/>
          <w:sz w:val="24"/>
          <w:szCs w:val="24"/>
        </w:rPr>
        <w:t xml:space="preserve">is </w:t>
      </w:r>
      <w:r w:rsidR="00187017">
        <w:rPr>
          <w:rFonts w:ascii="Times New Roman" w:hAnsi="Times New Roman" w:cs="Times New Roman"/>
          <w:sz w:val="24"/>
          <w:szCs w:val="24"/>
        </w:rPr>
        <w:t xml:space="preserve">underway </w:t>
      </w:r>
      <w:r w:rsidR="009D4157">
        <w:rPr>
          <w:rFonts w:ascii="Times New Roman" w:hAnsi="Times New Roman" w:cs="Times New Roman"/>
          <w:sz w:val="24"/>
          <w:szCs w:val="24"/>
        </w:rPr>
        <w:t xml:space="preserve">in </w:t>
      </w:r>
      <w:r w:rsidR="00EE6E20">
        <w:rPr>
          <w:rFonts w:ascii="Times New Roman" w:hAnsi="Times New Roman" w:cs="Times New Roman"/>
          <w:sz w:val="24"/>
          <w:szCs w:val="24"/>
        </w:rPr>
        <w:t>Belgium</w:t>
      </w:r>
      <w:r w:rsidR="009D4157">
        <w:rPr>
          <w:rFonts w:ascii="Times New Roman" w:hAnsi="Times New Roman" w:cs="Times New Roman"/>
          <w:sz w:val="24"/>
          <w:szCs w:val="24"/>
        </w:rPr>
        <w:t xml:space="preserve">. Germany </w:t>
      </w:r>
      <w:r w:rsidR="00E76A0E">
        <w:rPr>
          <w:rFonts w:ascii="Times New Roman" w:hAnsi="Times New Roman" w:cs="Times New Roman"/>
          <w:sz w:val="24"/>
          <w:szCs w:val="24"/>
        </w:rPr>
        <w:t>and</w:t>
      </w:r>
      <w:r w:rsidR="009D4157">
        <w:rPr>
          <w:rFonts w:ascii="Times New Roman" w:hAnsi="Times New Roman" w:cs="Times New Roman"/>
          <w:sz w:val="24"/>
          <w:szCs w:val="24"/>
        </w:rPr>
        <w:t xml:space="preserve"> Spain have urged the EU to act on this matter</w:t>
      </w:r>
      <w:r w:rsidR="00187017">
        <w:rPr>
          <w:rFonts w:ascii="Times New Roman" w:hAnsi="Times New Roman" w:cs="Times New Roman"/>
          <w:sz w:val="24"/>
          <w:szCs w:val="24"/>
        </w:rPr>
        <w:t xml:space="preserve"> as an alternative to national action that might otherwise be pursued</w:t>
      </w:r>
      <w:r w:rsidR="009D4157">
        <w:rPr>
          <w:rFonts w:ascii="Times New Roman" w:hAnsi="Times New Roman" w:cs="Times New Roman"/>
          <w:sz w:val="24"/>
          <w:szCs w:val="24"/>
        </w:rPr>
        <w:t>.</w:t>
      </w:r>
    </w:p>
    <w:p w14:paraId="4BBC2077" w14:textId="78B5C499" w:rsidR="00E76A0E" w:rsidRDefault="00E76A0E" w:rsidP="00EE6E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Ecodesign and Energy Labelling Consultation Forum on 6 October 2023, APPLiA expressed </w:t>
      </w:r>
      <w:r w:rsidR="00187017">
        <w:rPr>
          <w:rFonts w:ascii="Times New Roman" w:hAnsi="Times New Roman" w:cs="Times New Roman"/>
          <w:sz w:val="24"/>
          <w:szCs w:val="24"/>
        </w:rPr>
        <w:t xml:space="preserve">strong </w:t>
      </w:r>
      <w:r>
        <w:rPr>
          <w:rFonts w:ascii="Times New Roman" w:hAnsi="Times New Roman" w:cs="Times New Roman"/>
          <w:sz w:val="24"/>
          <w:szCs w:val="24"/>
        </w:rPr>
        <w:t>concern about the risk for internal market</w:t>
      </w:r>
      <w:r w:rsidR="00187017">
        <w:rPr>
          <w:rFonts w:ascii="Times New Roman" w:hAnsi="Times New Roman" w:cs="Times New Roman"/>
          <w:sz w:val="24"/>
          <w:szCs w:val="24"/>
        </w:rPr>
        <w:t xml:space="preserve"> fragment</w:t>
      </w:r>
      <w:r w:rsidR="006D52CF">
        <w:rPr>
          <w:rFonts w:ascii="Times New Roman" w:hAnsi="Times New Roman" w:cs="Times New Roman"/>
          <w:sz w:val="24"/>
          <w:szCs w:val="24"/>
        </w:rPr>
        <w:t>at</w:t>
      </w:r>
      <w:r w:rsidR="00187017">
        <w:rPr>
          <w:rFonts w:ascii="Times New Roman" w:hAnsi="Times New Roman" w:cs="Times New Roman"/>
          <w:sz w:val="24"/>
          <w:szCs w:val="24"/>
        </w:rPr>
        <w:t>ion from</w:t>
      </w:r>
      <w:r>
        <w:rPr>
          <w:rFonts w:ascii="Times New Roman" w:hAnsi="Times New Roman" w:cs="Times New Roman"/>
          <w:sz w:val="24"/>
          <w:szCs w:val="24"/>
        </w:rPr>
        <w:t xml:space="preserve"> emerging national rules on and asked Member States to use </w:t>
      </w:r>
      <w:r w:rsidR="00187017">
        <w:rPr>
          <w:rFonts w:ascii="Times New Roman" w:hAnsi="Times New Roman" w:cs="Times New Roman"/>
          <w:sz w:val="24"/>
          <w:szCs w:val="24"/>
        </w:rPr>
        <w:t xml:space="preserve">EU ecodesign and energy labelling and </w:t>
      </w:r>
      <w:r>
        <w:rPr>
          <w:rFonts w:ascii="Times New Roman" w:hAnsi="Times New Roman" w:cs="Times New Roman"/>
          <w:sz w:val="24"/>
          <w:szCs w:val="24"/>
        </w:rPr>
        <w:t xml:space="preserve">the Consultation Forum to </w:t>
      </w:r>
      <w:r w:rsidR="00187017">
        <w:rPr>
          <w:rFonts w:ascii="Times New Roman" w:hAnsi="Times New Roman" w:cs="Times New Roman"/>
          <w:sz w:val="24"/>
          <w:szCs w:val="24"/>
        </w:rPr>
        <w:t>develop</w:t>
      </w:r>
      <w:r>
        <w:rPr>
          <w:rFonts w:ascii="Times New Roman" w:hAnsi="Times New Roman" w:cs="Times New Roman"/>
          <w:sz w:val="24"/>
          <w:szCs w:val="24"/>
        </w:rPr>
        <w:t xml:space="preserve"> common solutions.</w:t>
      </w:r>
    </w:p>
    <w:p w14:paraId="6427AB08" w14:textId="70441E1C" w:rsidR="006116DF" w:rsidRDefault="009D4157" w:rsidP="007F6754">
      <w:pPr>
        <w:jc w:val="both"/>
        <w:rPr>
          <w:rFonts w:ascii="Times New Roman" w:hAnsi="Times New Roman" w:cs="Times New Roman"/>
          <w:sz w:val="24"/>
          <w:szCs w:val="24"/>
        </w:rPr>
      </w:pPr>
      <w:r>
        <w:rPr>
          <w:rFonts w:ascii="Times New Roman" w:hAnsi="Times New Roman" w:cs="Times New Roman"/>
          <w:sz w:val="24"/>
          <w:szCs w:val="24"/>
        </w:rPr>
        <w:t>T</w:t>
      </w:r>
      <w:r w:rsidR="002E6546">
        <w:rPr>
          <w:rFonts w:ascii="Times New Roman" w:hAnsi="Times New Roman" w:cs="Times New Roman"/>
          <w:sz w:val="24"/>
          <w:szCs w:val="24"/>
        </w:rPr>
        <w:t xml:space="preserve">he proliferation of </w:t>
      </w:r>
      <w:r w:rsidR="00187017">
        <w:rPr>
          <w:rFonts w:ascii="Times New Roman" w:hAnsi="Times New Roman" w:cs="Times New Roman"/>
          <w:sz w:val="24"/>
          <w:szCs w:val="24"/>
        </w:rPr>
        <w:t xml:space="preserve">national </w:t>
      </w:r>
      <w:r w:rsidR="002E6546">
        <w:rPr>
          <w:rFonts w:ascii="Times New Roman" w:hAnsi="Times New Roman" w:cs="Times New Roman"/>
          <w:sz w:val="24"/>
          <w:szCs w:val="24"/>
        </w:rPr>
        <w:t xml:space="preserve">repairability scores across EU Member States </w:t>
      </w:r>
      <w:r w:rsidR="00187017">
        <w:rPr>
          <w:rFonts w:ascii="Times New Roman" w:hAnsi="Times New Roman" w:cs="Times New Roman"/>
          <w:sz w:val="24"/>
          <w:szCs w:val="24"/>
        </w:rPr>
        <w:t xml:space="preserve">would </w:t>
      </w:r>
      <w:r w:rsidR="00E76A0E">
        <w:rPr>
          <w:rFonts w:ascii="Times New Roman" w:hAnsi="Times New Roman" w:cs="Times New Roman"/>
          <w:sz w:val="24"/>
          <w:szCs w:val="24"/>
        </w:rPr>
        <w:t>lead</w:t>
      </w:r>
      <w:r w:rsidR="002E6546">
        <w:rPr>
          <w:rFonts w:ascii="Times New Roman" w:hAnsi="Times New Roman" w:cs="Times New Roman"/>
          <w:sz w:val="24"/>
          <w:szCs w:val="24"/>
        </w:rPr>
        <w:t xml:space="preserve"> to market fragmentation. </w:t>
      </w:r>
      <w:r w:rsidR="006116DF" w:rsidRPr="006116DF">
        <w:rPr>
          <w:rFonts w:ascii="Times New Roman" w:hAnsi="Times New Roman" w:cs="Times New Roman"/>
          <w:sz w:val="24"/>
          <w:szCs w:val="24"/>
        </w:rPr>
        <w:t xml:space="preserve">Diverse national approaches </w:t>
      </w:r>
      <w:r w:rsidR="00E76A0E">
        <w:rPr>
          <w:rFonts w:ascii="Times New Roman" w:hAnsi="Times New Roman" w:cs="Times New Roman"/>
          <w:sz w:val="24"/>
          <w:szCs w:val="24"/>
        </w:rPr>
        <w:t>to repairability will</w:t>
      </w:r>
      <w:r w:rsidR="006116DF" w:rsidRPr="006116DF">
        <w:rPr>
          <w:rFonts w:ascii="Times New Roman" w:hAnsi="Times New Roman" w:cs="Times New Roman"/>
          <w:sz w:val="24"/>
          <w:szCs w:val="24"/>
        </w:rPr>
        <w:t xml:space="preserve"> be an obstacle for the internal market because products would have to be adapted to diverging national rules, thus </w:t>
      </w:r>
      <w:r w:rsidR="00E76A0E">
        <w:rPr>
          <w:rFonts w:ascii="Times New Roman" w:hAnsi="Times New Roman" w:cs="Times New Roman"/>
          <w:sz w:val="24"/>
          <w:szCs w:val="24"/>
        </w:rPr>
        <w:t xml:space="preserve">raising </w:t>
      </w:r>
      <w:r w:rsidR="006116DF" w:rsidRPr="006116DF">
        <w:rPr>
          <w:rFonts w:ascii="Times New Roman" w:hAnsi="Times New Roman" w:cs="Times New Roman"/>
          <w:sz w:val="24"/>
          <w:szCs w:val="24"/>
        </w:rPr>
        <w:t>compliance costs for the industry</w:t>
      </w:r>
      <w:r w:rsidR="00187017">
        <w:rPr>
          <w:rFonts w:ascii="Times New Roman" w:hAnsi="Times New Roman" w:cs="Times New Roman"/>
          <w:sz w:val="24"/>
          <w:szCs w:val="24"/>
        </w:rPr>
        <w:t xml:space="preserve"> and, inevitably, prices for consumers</w:t>
      </w:r>
      <w:r w:rsidR="006116DF">
        <w:rPr>
          <w:rFonts w:ascii="Times New Roman" w:hAnsi="Times New Roman" w:cs="Times New Roman"/>
          <w:sz w:val="24"/>
          <w:szCs w:val="24"/>
        </w:rPr>
        <w:t>.</w:t>
      </w:r>
    </w:p>
    <w:p w14:paraId="72C8C721" w14:textId="139E3379" w:rsidR="003912BC" w:rsidRDefault="003912BC" w:rsidP="005C41D5">
      <w:pPr>
        <w:pStyle w:val="Heading1"/>
      </w:pPr>
      <w:r>
        <w:t>The precedent: a repairability score for smartphones and tablets</w:t>
      </w:r>
    </w:p>
    <w:p w14:paraId="65437FA3" w14:textId="4186463E" w:rsidR="003210D8" w:rsidRDefault="003210D8" w:rsidP="00EC0705">
      <w:pPr>
        <w:jc w:val="both"/>
        <w:rPr>
          <w:rFonts w:ascii="Times New Roman" w:hAnsi="Times New Roman" w:cs="Times New Roman"/>
          <w:sz w:val="24"/>
          <w:szCs w:val="24"/>
        </w:rPr>
      </w:pPr>
      <w:r>
        <w:rPr>
          <w:rFonts w:ascii="Times New Roman" w:hAnsi="Times New Roman" w:cs="Times New Roman"/>
          <w:sz w:val="24"/>
          <w:szCs w:val="24"/>
        </w:rPr>
        <w:t xml:space="preserve">A </w:t>
      </w:r>
      <w:r w:rsidR="00A65759">
        <w:rPr>
          <w:rFonts w:ascii="Times New Roman" w:hAnsi="Times New Roman" w:cs="Times New Roman"/>
          <w:sz w:val="24"/>
          <w:szCs w:val="24"/>
        </w:rPr>
        <w:t>repairability</w:t>
      </w:r>
      <w:r>
        <w:rPr>
          <w:rFonts w:ascii="Times New Roman" w:hAnsi="Times New Roman" w:cs="Times New Roman"/>
          <w:sz w:val="24"/>
          <w:szCs w:val="24"/>
        </w:rPr>
        <w:t xml:space="preserve"> score is a straight-forward and easy-to-understand mean to inform </w:t>
      </w:r>
      <w:r w:rsidR="00CE06A5">
        <w:rPr>
          <w:rFonts w:ascii="Times New Roman" w:hAnsi="Times New Roman" w:cs="Times New Roman"/>
          <w:sz w:val="24"/>
          <w:szCs w:val="24"/>
        </w:rPr>
        <w:t>consumers</w:t>
      </w:r>
      <w:r>
        <w:rPr>
          <w:rFonts w:ascii="Times New Roman" w:hAnsi="Times New Roman" w:cs="Times New Roman"/>
          <w:sz w:val="24"/>
          <w:szCs w:val="24"/>
        </w:rPr>
        <w:t xml:space="preserve"> about how easily a product can be repaired</w:t>
      </w:r>
      <w:r w:rsidR="00CE06A5">
        <w:rPr>
          <w:rFonts w:ascii="Times New Roman" w:hAnsi="Times New Roman" w:cs="Times New Roman"/>
          <w:sz w:val="24"/>
          <w:szCs w:val="24"/>
        </w:rPr>
        <w:t xml:space="preserve">, helping them reduce </w:t>
      </w:r>
      <w:r w:rsidR="009A036F">
        <w:rPr>
          <w:rFonts w:ascii="Times New Roman" w:hAnsi="Times New Roman" w:cs="Times New Roman"/>
          <w:sz w:val="24"/>
          <w:szCs w:val="24"/>
        </w:rPr>
        <w:t>the total cost of ownership</w:t>
      </w:r>
      <w:r w:rsidR="00F71253">
        <w:rPr>
          <w:rFonts w:ascii="Times New Roman" w:hAnsi="Times New Roman" w:cs="Times New Roman"/>
          <w:sz w:val="24"/>
          <w:szCs w:val="24"/>
        </w:rPr>
        <w:t>, since a longer lifetime will delay replacement</w:t>
      </w:r>
      <w:r>
        <w:rPr>
          <w:rFonts w:ascii="Times New Roman" w:hAnsi="Times New Roman" w:cs="Times New Roman"/>
          <w:sz w:val="24"/>
          <w:szCs w:val="24"/>
        </w:rPr>
        <w:t xml:space="preserve">. </w:t>
      </w:r>
      <w:r w:rsidR="00CE06A5">
        <w:rPr>
          <w:rFonts w:ascii="Times New Roman" w:hAnsi="Times New Roman" w:cs="Times New Roman"/>
          <w:sz w:val="24"/>
          <w:szCs w:val="24"/>
        </w:rPr>
        <w:t>I</w:t>
      </w:r>
      <w:r>
        <w:rPr>
          <w:rFonts w:ascii="Times New Roman" w:hAnsi="Times New Roman" w:cs="Times New Roman"/>
          <w:sz w:val="24"/>
          <w:szCs w:val="24"/>
        </w:rPr>
        <w:t>t also incentivises manufacturers to design their products according to sustainability criteria in trying to reach the highest scores for the models they place on the market.</w:t>
      </w:r>
    </w:p>
    <w:p w14:paraId="30A98DD2" w14:textId="2E8E9309" w:rsidR="00EC0705" w:rsidRPr="00187017" w:rsidRDefault="00CE06A5" w:rsidP="00EC0705">
      <w:pPr>
        <w:jc w:val="both"/>
        <w:rPr>
          <w:rFonts w:ascii="Times New Roman" w:hAnsi="Times New Roman" w:cs="Times New Roman"/>
          <w:sz w:val="24"/>
          <w:szCs w:val="24"/>
        </w:rPr>
      </w:pPr>
      <w:r>
        <w:rPr>
          <w:rFonts w:ascii="Times New Roman" w:hAnsi="Times New Roman" w:cs="Times New Roman"/>
          <w:sz w:val="24"/>
          <w:szCs w:val="24"/>
        </w:rPr>
        <w:t>Commission Delegated Regulation (EU) 2023/1669 with regard to the energy labelling of smartphones and slate tablets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is the first product-specific Regulation on energy labelling that implements</w:t>
      </w:r>
      <w:r w:rsidR="00C04243">
        <w:rPr>
          <w:rFonts w:ascii="Times New Roman" w:hAnsi="Times New Roman" w:cs="Times New Roman"/>
          <w:sz w:val="24"/>
          <w:szCs w:val="24"/>
        </w:rPr>
        <w:t xml:space="preserve"> comprehensive </w:t>
      </w:r>
      <w:r w:rsidR="00EC0705">
        <w:rPr>
          <w:rFonts w:ascii="Times New Roman" w:hAnsi="Times New Roman" w:cs="Times New Roman"/>
          <w:sz w:val="24"/>
          <w:szCs w:val="24"/>
        </w:rPr>
        <w:t>circular economy rules</w:t>
      </w:r>
      <w:r w:rsidR="00C31D1E">
        <w:rPr>
          <w:rFonts w:ascii="Times New Roman" w:hAnsi="Times New Roman" w:cs="Times New Roman"/>
          <w:sz w:val="24"/>
          <w:szCs w:val="24"/>
        </w:rPr>
        <w:t xml:space="preserve">. </w:t>
      </w:r>
      <w:r>
        <w:rPr>
          <w:rFonts w:ascii="Times New Roman" w:hAnsi="Times New Roman" w:cs="Times New Roman"/>
          <w:sz w:val="24"/>
          <w:szCs w:val="24"/>
        </w:rPr>
        <w:t xml:space="preserve">It is also </w:t>
      </w:r>
      <w:r w:rsidR="00835A24" w:rsidRPr="00835A24">
        <w:rPr>
          <w:rFonts w:ascii="Times New Roman" w:hAnsi="Times New Roman" w:cs="Times New Roman"/>
          <w:color w:val="000000"/>
          <w:sz w:val="24"/>
          <w:szCs w:val="24"/>
        </w:rPr>
        <w:t xml:space="preserve">the first </w:t>
      </w:r>
      <w:r w:rsidR="00420298">
        <w:rPr>
          <w:rFonts w:ascii="Times New Roman" w:hAnsi="Times New Roman" w:cs="Times New Roman"/>
          <w:color w:val="000000"/>
          <w:sz w:val="24"/>
          <w:szCs w:val="24"/>
        </w:rPr>
        <w:t>Regulation that will</w:t>
      </w:r>
      <w:r w:rsidR="00835A24" w:rsidRPr="00835A24">
        <w:rPr>
          <w:rFonts w:ascii="Times New Roman" w:hAnsi="Times New Roman" w:cs="Times New Roman"/>
          <w:color w:val="000000"/>
          <w:sz w:val="24"/>
          <w:szCs w:val="24"/>
        </w:rPr>
        <w:t xml:space="preserve"> require </w:t>
      </w:r>
      <w:r w:rsidR="00420298">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label </w:t>
      </w:r>
      <w:r w:rsidR="00835A24" w:rsidRPr="00835A24">
        <w:rPr>
          <w:rFonts w:ascii="Times New Roman" w:hAnsi="Times New Roman" w:cs="Times New Roman"/>
          <w:color w:val="000000"/>
          <w:sz w:val="24"/>
          <w:szCs w:val="24"/>
        </w:rPr>
        <w:t>to display</w:t>
      </w:r>
      <w:r>
        <w:rPr>
          <w:rFonts w:ascii="Times New Roman" w:hAnsi="Times New Roman" w:cs="Times New Roman"/>
          <w:color w:val="000000"/>
          <w:sz w:val="24"/>
          <w:szCs w:val="24"/>
        </w:rPr>
        <w:t xml:space="preserve"> </w:t>
      </w:r>
      <w:r w:rsidR="00835A24" w:rsidRPr="00835A24">
        <w:rPr>
          <w:rFonts w:ascii="Times New Roman" w:hAnsi="Times New Roman" w:cs="Times New Roman"/>
          <w:color w:val="000000"/>
          <w:sz w:val="24"/>
          <w:szCs w:val="24"/>
        </w:rPr>
        <w:t>a</w:t>
      </w:r>
      <w:r w:rsidR="00835A24">
        <w:rPr>
          <w:rStyle w:val="Strong"/>
          <w:rFonts w:ascii="Times New Roman" w:hAnsi="Times New Roman" w:cs="Times New Roman"/>
          <w:color w:val="000000"/>
          <w:sz w:val="24"/>
          <w:szCs w:val="24"/>
        </w:rPr>
        <w:t xml:space="preserve"> </w:t>
      </w:r>
      <w:r w:rsidR="00A65759">
        <w:rPr>
          <w:rStyle w:val="Strong"/>
          <w:rFonts w:ascii="Times New Roman" w:hAnsi="Times New Roman" w:cs="Times New Roman"/>
          <w:color w:val="000000"/>
          <w:sz w:val="24"/>
          <w:szCs w:val="24"/>
        </w:rPr>
        <w:t>repairability</w:t>
      </w:r>
      <w:r w:rsidR="00835A24" w:rsidRPr="00835A24">
        <w:rPr>
          <w:rStyle w:val="Strong"/>
          <w:rFonts w:ascii="Times New Roman" w:hAnsi="Times New Roman" w:cs="Times New Roman"/>
          <w:color w:val="000000"/>
          <w:sz w:val="24"/>
          <w:szCs w:val="24"/>
        </w:rPr>
        <w:t xml:space="preserve"> score</w:t>
      </w:r>
      <w:r w:rsidR="00420298" w:rsidRPr="00420298">
        <w:rPr>
          <w:rStyle w:val="Strong"/>
          <w:rFonts w:ascii="Times New Roman" w:hAnsi="Times New Roman" w:cs="Times New Roman"/>
          <w:b w:val="0"/>
          <w:bCs w:val="0"/>
          <w:color w:val="000000"/>
          <w:sz w:val="24"/>
          <w:szCs w:val="24"/>
        </w:rPr>
        <w:t>. The</w:t>
      </w:r>
      <w:r w:rsidR="00420298">
        <w:rPr>
          <w:rStyle w:val="Strong"/>
          <w:rFonts w:ascii="Times New Roman" w:hAnsi="Times New Roman" w:cs="Times New Roman"/>
          <w:color w:val="000000"/>
          <w:sz w:val="24"/>
          <w:szCs w:val="24"/>
        </w:rPr>
        <w:t xml:space="preserve"> </w:t>
      </w:r>
      <w:r w:rsidR="00A65759">
        <w:rPr>
          <w:rFonts w:ascii="Times New Roman" w:hAnsi="Times New Roman" w:cs="Times New Roman"/>
          <w:color w:val="000000"/>
          <w:sz w:val="24"/>
          <w:szCs w:val="24"/>
        </w:rPr>
        <w:t>repairability</w:t>
      </w:r>
      <w:r w:rsidR="00C04243">
        <w:rPr>
          <w:rFonts w:ascii="Times New Roman" w:hAnsi="Times New Roman" w:cs="Times New Roman"/>
          <w:color w:val="000000"/>
          <w:sz w:val="24"/>
          <w:szCs w:val="24"/>
        </w:rPr>
        <w:t xml:space="preserve"> score </w:t>
      </w:r>
      <w:r w:rsidR="00420298">
        <w:rPr>
          <w:rFonts w:ascii="Times New Roman" w:hAnsi="Times New Roman" w:cs="Times New Roman"/>
          <w:color w:val="000000"/>
          <w:sz w:val="24"/>
          <w:szCs w:val="24"/>
        </w:rPr>
        <w:t xml:space="preserve">has </w:t>
      </w:r>
      <w:r w:rsidR="00C17099">
        <w:rPr>
          <w:rFonts w:ascii="Times New Roman" w:hAnsi="Times New Roman" w:cs="Times New Roman"/>
          <w:color w:val="000000"/>
          <w:sz w:val="24"/>
          <w:szCs w:val="24"/>
        </w:rPr>
        <w:t xml:space="preserve">been adopted </w:t>
      </w:r>
      <w:r w:rsidR="00187017">
        <w:rPr>
          <w:rFonts w:ascii="Times New Roman" w:hAnsi="Times New Roman" w:cs="Times New Roman"/>
          <w:color w:val="000000"/>
          <w:sz w:val="24"/>
          <w:szCs w:val="24"/>
        </w:rPr>
        <w:t>altogether with other</w:t>
      </w:r>
      <w:r w:rsidR="00A72252">
        <w:rPr>
          <w:rFonts w:ascii="Times New Roman" w:hAnsi="Times New Roman" w:cs="Times New Roman"/>
          <w:color w:val="000000"/>
          <w:sz w:val="24"/>
          <w:szCs w:val="24"/>
        </w:rPr>
        <w:t xml:space="preserve"> circular economy measures </w:t>
      </w:r>
      <w:r w:rsidR="00187017">
        <w:rPr>
          <w:rFonts w:ascii="Times New Roman" w:hAnsi="Times New Roman" w:cs="Times New Roman"/>
          <w:color w:val="000000"/>
          <w:sz w:val="24"/>
          <w:szCs w:val="24"/>
        </w:rPr>
        <w:t xml:space="preserve">adopted </w:t>
      </w:r>
      <w:r w:rsidR="00A72252">
        <w:rPr>
          <w:rFonts w:ascii="Times New Roman" w:hAnsi="Times New Roman" w:cs="Times New Roman"/>
          <w:color w:val="000000"/>
          <w:sz w:val="24"/>
          <w:szCs w:val="24"/>
        </w:rPr>
        <w:t xml:space="preserve">in the review of the legislation on smartphones and tablets, </w:t>
      </w:r>
      <w:r w:rsidR="00187017">
        <w:rPr>
          <w:rFonts w:ascii="Times New Roman" w:hAnsi="Times New Roman" w:cs="Times New Roman"/>
          <w:color w:val="000000"/>
          <w:sz w:val="24"/>
          <w:szCs w:val="24"/>
        </w:rPr>
        <w:t>and fully</w:t>
      </w:r>
      <w:r w:rsidR="00420298">
        <w:rPr>
          <w:rFonts w:ascii="Times New Roman" w:hAnsi="Times New Roman" w:cs="Times New Roman"/>
          <w:color w:val="000000"/>
          <w:sz w:val="24"/>
          <w:szCs w:val="24"/>
        </w:rPr>
        <w:t xml:space="preserve"> supported by Member States</w:t>
      </w:r>
      <w:r w:rsidR="00187017">
        <w:rPr>
          <w:rFonts w:ascii="Times New Roman" w:hAnsi="Times New Roman" w:cs="Times New Roman"/>
          <w:color w:val="000000"/>
          <w:sz w:val="24"/>
          <w:szCs w:val="24"/>
        </w:rPr>
        <w:t xml:space="preserve"> and stakeholders</w:t>
      </w:r>
      <w:r w:rsidR="00835A24">
        <w:rPr>
          <w:rFonts w:ascii="Times New Roman" w:hAnsi="Times New Roman" w:cs="Times New Roman"/>
          <w:color w:val="000000"/>
          <w:sz w:val="24"/>
          <w:szCs w:val="24"/>
        </w:rPr>
        <w:t xml:space="preserve">. </w:t>
      </w:r>
      <w:r w:rsidR="00187017">
        <w:rPr>
          <w:rFonts w:ascii="Times New Roman" w:hAnsi="Times New Roman" w:cs="Times New Roman"/>
          <w:color w:val="000000"/>
          <w:sz w:val="24"/>
          <w:szCs w:val="24"/>
        </w:rPr>
        <w:t xml:space="preserve">It was based on the terminology developed in the </w:t>
      </w:r>
      <w:r w:rsidR="00187017" w:rsidRPr="0098595B">
        <w:rPr>
          <w:rFonts w:ascii="Times New Roman" w:hAnsi="Times New Roman" w:cs="Times New Roman"/>
          <w:sz w:val="24"/>
          <w:szCs w:val="24"/>
        </w:rPr>
        <w:t xml:space="preserve">standard </w:t>
      </w:r>
      <w:r w:rsidR="00187017" w:rsidRPr="00DC496E">
        <w:rPr>
          <w:rFonts w:ascii="Times New Roman" w:hAnsi="Times New Roman" w:cs="Times New Roman"/>
          <w:i/>
          <w:iCs/>
          <w:sz w:val="24"/>
          <w:szCs w:val="24"/>
        </w:rPr>
        <w:t>EN 45554: General methods for the assessment of the ability to repair, reuse and upgrade energy-related products</w:t>
      </w:r>
      <w:r w:rsidR="003A17F4">
        <w:rPr>
          <w:rFonts w:ascii="Times New Roman" w:hAnsi="Times New Roman" w:cs="Times New Roman"/>
          <w:i/>
          <w:iCs/>
          <w:sz w:val="24"/>
          <w:szCs w:val="24"/>
        </w:rPr>
        <w:t xml:space="preserve"> </w:t>
      </w:r>
      <w:r w:rsidR="003A17F4" w:rsidRPr="00C17099">
        <w:rPr>
          <w:rFonts w:ascii="Times New Roman" w:hAnsi="Times New Roman" w:cs="Times New Roman"/>
          <w:sz w:val="24"/>
          <w:szCs w:val="24"/>
        </w:rPr>
        <w:t>(se also section 5.2)</w:t>
      </w:r>
      <w:r w:rsidR="00187017">
        <w:rPr>
          <w:rFonts w:ascii="Times New Roman" w:hAnsi="Times New Roman" w:cs="Times New Roman"/>
          <w:sz w:val="24"/>
          <w:szCs w:val="24"/>
        </w:rPr>
        <w:t>.</w:t>
      </w:r>
      <w:r w:rsidR="009A036F">
        <w:rPr>
          <w:rFonts w:ascii="Times New Roman" w:hAnsi="Times New Roman" w:cs="Times New Roman"/>
          <w:sz w:val="24"/>
          <w:szCs w:val="24"/>
        </w:rPr>
        <w:t xml:space="preserve"> More repairability scores are under study.</w:t>
      </w:r>
    </w:p>
    <w:p w14:paraId="1B9D4872" w14:textId="7977B396" w:rsidR="001A222E" w:rsidRDefault="007564DB" w:rsidP="005C41D5">
      <w:pPr>
        <w:pStyle w:val="Heading1"/>
      </w:pPr>
      <w:r>
        <w:t xml:space="preserve">A </w:t>
      </w:r>
      <w:r w:rsidR="00A65759">
        <w:t>repairability</w:t>
      </w:r>
      <w:r>
        <w:t xml:space="preserve"> score </w:t>
      </w:r>
      <w:r w:rsidR="009B0863">
        <w:t>for tumble dryers</w:t>
      </w:r>
      <w:r>
        <w:t xml:space="preserve">. </w:t>
      </w:r>
    </w:p>
    <w:p w14:paraId="6692E45A" w14:textId="444E9E6A" w:rsidR="005C41D5" w:rsidRPr="00F92EAE" w:rsidRDefault="007564DB" w:rsidP="001A222E">
      <w:pPr>
        <w:pStyle w:val="Heading2"/>
      </w:pPr>
      <w:r>
        <w:t>What is the problem</w:t>
      </w:r>
    </w:p>
    <w:p w14:paraId="63348EB8" w14:textId="2EBF1B32" w:rsidR="00EB1077" w:rsidRDefault="000B11B4" w:rsidP="007F6754">
      <w:pPr>
        <w:jc w:val="both"/>
        <w:rPr>
          <w:rFonts w:ascii="Times New Roman" w:hAnsi="Times New Roman" w:cs="Times New Roman"/>
          <w:sz w:val="24"/>
          <w:szCs w:val="24"/>
        </w:rPr>
      </w:pPr>
      <w:r>
        <w:rPr>
          <w:rFonts w:ascii="Times New Roman" w:hAnsi="Times New Roman" w:cs="Times New Roman"/>
          <w:sz w:val="24"/>
          <w:szCs w:val="24"/>
        </w:rPr>
        <w:t>According to the 2019 review study on household tumble dryers, t</w:t>
      </w:r>
      <w:r w:rsidR="00FB3C53">
        <w:rPr>
          <w:rFonts w:ascii="Times New Roman" w:hAnsi="Times New Roman" w:cs="Times New Roman"/>
          <w:sz w:val="24"/>
          <w:szCs w:val="24"/>
        </w:rPr>
        <w:t>he average lifetime of tumble dryers over the last decade has decreased from 14 to 12 years</w:t>
      </w:r>
      <w:r w:rsidR="00FB3C53">
        <w:rPr>
          <w:rStyle w:val="FootnoteReference"/>
          <w:rFonts w:ascii="Times New Roman" w:hAnsi="Times New Roman" w:cs="Times New Roman"/>
          <w:sz w:val="24"/>
          <w:szCs w:val="24"/>
        </w:rPr>
        <w:footnoteReference w:id="17"/>
      </w:r>
      <w:r w:rsidR="00F71253">
        <w:rPr>
          <w:rFonts w:ascii="Times New Roman" w:hAnsi="Times New Roman" w:cs="Times New Roman"/>
          <w:sz w:val="24"/>
          <w:szCs w:val="24"/>
        </w:rPr>
        <w:t>, prompting an acceleration of production to compensate the shorter lifetime</w:t>
      </w:r>
      <w:r w:rsidR="003004DE">
        <w:rPr>
          <w:rFonts w:ascii="Times New Roman" w:hAnsi="Times New Roman" w:cs="Times New Roman"/>
          <w:sz w:val="24"/>
          <w:szCs w:val="24"/>
        </w:rPr>
        <w:t xml:space="preserve">. This results in an increase of </w:t>
      </w:r>
      <w:r w:rsidR="00FB3C53">
        <w:rPr>
          <w:rFonts w:ascii="Times New Roman" w:hAnsi="Times New Roman" w:cs="Times New Roman"/>
          <w:sz w:val="24"/>
          <w:szCs w:val="24"/>
        </w:rPr>
        <w:t>energy and materials</w:t>
      </w:r>
      <w:r w:rsidR="00703852">
        <w:rPr>
          <w:rFonts w:ascii="Times New Roman" w:hAnsi="Times New Roman" w:cs="Times New Roman"/>
          <w:sz w:val="24"/>
          <w:szCs w:val="24"/>
        </w:rPr>
        <w:t xml:space="preserve"> </w:t>
      </w:r>
      <w:r w:rsidR="00640F2C">
        <w:rPr>
          <w:rFonts w:ascii="Times New Roman" w:hAnsi="Times New Roman" w:cs="Times New Roman"/>
          <w:sz w:val="24"/>
          <w:szCs w:val="24"/>
        </w:rPr>
        <w:t>use</w:t>
      </w:r>
      <w:r w:rsidR="0025315E">
        <w:rPr>
          <w:rFonts w:ascii="Times New Roman" w:hAnsi="Times New Roman" w:cs="Times New Roman"/>
          <w:sz w:val="24"/>
          <w:szCs w:val="24"/>
        </w:rPr>
        <w:t>d</w:t>
      </w:r>
      <w:r w:rsidR="003004DE">
        <w:rPr>
          <w:rFonts w:ascii="Times New Roman" w:hAnsi="Times New Roman" w:cs="Times New Roman"/>
          <w:sz w:val="24"/>
          <w:szCs w:val="24"/>
        </w:rPr>
        <w:t xml:space="preserve"> </w:t>
      </w:r>
      <w:r w:rsidR="00640F2C">
        <w:rPr>
          <w:rFonts w:ascii="Times New Roman" w:hAnsi="Times New Roman" w:cs="Times New Roman"/>
          <w:sz w:val="24"/>
          <w:szCs w:val="24"/>
        </w:rPr>
        <w:t>for</w:t>
      </w:r>
      <w:r w:rsidR="00703852">
        <w:rPr>
          <w:rFonts w:ascii="Times New Roman" w:hAnsi="Times New Roman" w:cs="Times New Roman"/>
          <w:sz w:val="24"/>
          <w:szCs w:val="24"/>
        </w:rPr>
        <w:t xml:space="preserve"> production </w:t>
      </w:r>
      <w:r w:rsidR="003004DE">
        <w:rPr>
          <w:rFonts w:ascii="Times New Roman" w:hAnsi="Times New Roman" w:cs="Times New Roman"/>
          <w:sz w:val="24"/>
          <w:szCs w:val="24"/>
        </w:rPr>
        <w:t>and distribution, as well as higher costs related to disposal and recycling</w:t>
      </w:r>
      <w:r w:rsidR="00FB3C53">
        <w:rPr>
          <w:rFonts w:ascii="Times New Roman" w:hAnsi="Times New Roman" w:cs="Times New Roman"/>
          <w:sz w:val="24"/>
          <w:szCs w:val="24"/>
        </w:rPr>
        <w:t xml:space="preserve">. </w:t>
      </w:r>
    </w:p>
    <w:p w14:paraId="71C67C13" w14:textId="6C5777CF" w:rsidR="005C41D5" w:rsidRDefault="00FA5585" w:rsidP="0025315E">
      <w:pPr>
        <w:jc w:val="both"/>
        <w:rPr>
          <w:rFonts w:ascii="Times New Roman" w:hAnsi="Times New Roman" w:cs="Times New Roman"/>
          <w:sz w:val="24"/>
          <w:szCs w:val="24"/>
        </w:rPr>
      </w:pPr>
      <w:r>
        <w:rPr>
          <w:rFonts w:ascii="Times New Roman" w:hAnsi="Times New Roman" w:cs="Times New Roman"/>
          <w:sz w:val="24"/>
          <w:szCs w:val="24"/>
        </w:rPr>
        <w:t xml:space="preserve">Tumble dryers are </w:t>
      </w:r>
      <w:r w:rsidR="00124CF1">
        <w:rPr>
          <w:rFonts w:ascii="Times New Roman" w:hAnsi="Times New Roman" w:cs="Times New Roman"/>
          <w:sz w:val="24"/>
          <w:szCs w:val="24"/>
        </w:rPr>
        <w:t>big, heavy</w:t>
      </w:r>
      <w:r>
        <w:rPr>
          <w:rFonts w:ascii="Times New Roman" w:hAnsi="Times New Roman" w:cs="Times New Roman"/>
          <w:sz w:val="24"/>
          <w:szCs w:val="24"/>
        </w:rPr>
        <w:t xml:space="preserve"> </w:t>
      </w:r>
      <w:r w:rsidR="00703852">
        <w:rPr>
          <w:rFonts w:ascii="Times New Roman" w:hAnsi="Times New Roman" w:cs="Times New Roman"/>
          <w:sz w:val="24"/>
          <w:szCs w:val="24"/>
        </w:rPr>
        <w:t>and complex products</w:t>
      </w:r>
      <w:r w:rsidR="008501C3">
        <w:rPr>
          <w:rFonts w:ascii="Times New Roman" w:hAnsi="Times New Roman" w:cs="Times New Roman"/>
          <w:sz w:val="24"/>
          <w:szCs w:val="24"/>
        </w:rPr>
        <w:t xml:space="preserve"> </w:t>
      </w:r>
      <w:r w:rsidR="00124CF1">
        <w:rPr>
          <w:rFonts w:ascii="Times New Roman" w:hAnsi="Times New Roman" w:cs="Times New Roman"/>
          <w:sz w:val="24"/>
          <w:szCs w:val="24"/>
        </w:rPr>
        <w:t xml:space="preserve">the </w:t>
      </w:r>
      <w:r w:rsidR="008501C3">
        <w:rPr>
          <w:rFonts w:ascii="Times New Roman" w:hAnsi="Times New Roman" w:cs="Times New Roman"/>
          <w:sz w:val="24"/>
          <w:szCs w:val="24"/>
        </w:rPr>
        <w:t xml:space="preserve">production </w:t>
      </w:r>
      <w:r w:rsidR="00124CF1">
        <w:rPr>
          <w:rFonts w:ascii="Times New Roman" w:hAnsi="Times New Roman" w:cs="Times New Roman"/>
          <w:sz w:val="24"/>
          <w:szCs w:val="24"/>
        </w:rPr>
        <w:t xml:space="preserve">of which </w:t>
      </w:r>
      <w:r w:rsidR="0025315E">
        <w:rPr>
          <w:rFonts w:ascii="Times New Roman" w:hAnsi="Times New Roman" w:cs="Times New Roman"/>
          <w:sz w:val="24"/>
          <w:szCs w:val="24"/>
        </w:rPr>
        <w:t xml:space="preserve">leads to </w:t>
      </w:r>
      <w:r w:rsidR="008501C3">
        <w:rPr>
          <w:rFonts w:ascii="Times New Roman" w:hAnsi="Times New Roman" w:cs="Times New Roman"/>
          <w:sz w:val="24"/>
          <w:szCs w:val="24"/>
        </w:rPr>
        <w:t xml:space="preserve">significant </w:t>
      </w:r>
      <w:r w:rsidR="0025315E">
        <w:rPr>
          <w:rFonts w:ascii="Times New Roman" w:hAnsi="Times New Roman" w:cs="Times New Roman"/>
          <w:sz w:val="24"/>
          <w:szCs w:val="24"/>
        </w:rPr>
        <w:t>consumption</w:t>
      </w:r>
      <w:r>
        <w:rPr>
          <w:rFonts w:ascii="Times New Roman" w:hAnsi="Times New Roman" w:cs="Times New Roman"/>
          <w:sz w:val="24"/>
          <w:szCs w:val="24"/>
        </w:rPr>
        <w:t xml:space="preserve"> of energy and materials. The analysis </w:t>
      </w:r>
      <w:r w:rsidR="005767EE">
        <w:rPr>
          <w:rFonts w:ascii="Times New Roman" w:hAnsi="Times New Roman" w:cs="Times New Roman"/>
          <w:sz w:val="24"/>
          <w:szCs w:val="24"/>
        </w:rPr>
        <w:t>conducted</w:t>
      </w:r>
      <w:r>
        <w:rPr>
          <w:rFonts w:ascii="Times New Roman" w:hAnsi="Times New Roman" w:cs="Times New Roman"/>
          <w:sz w:val="24"/>
          <w:szCs w:val="24"/>
        </w:rPr>
        <w:t xml:space="preserve"> </w:t>
      </w:r>
      <w:r w:rsidR="00D805BF">
        <w:rPr>
          <w:rFonts w:ascii="Times New Roman" w:hAnsi="Times New Roman" w:cs="Times New Roman"/>
          <w:sz w:val="24"/>
          <w:szCs w:val="24"/>
        </w:rPr>
        <w:t>on the EcoReport Tool</w:t>
      </w:r>
      <w:r w:rsidR="00FB50C2">
        <w:rPr>
          <w:rStyle w:val="FootnoteReference"/>
          <w:rFonts w:ascii="Times New Roman" w:hAnsi="Times New Roman" w:cs="Times New Roman"/>
          <w:sz w:val="24"/>
          <w:szCs w:val="24"/>
        </w:rPr>
        <w:footnoteReference w:id="18"/>
      </w:r>
      <w:r w:rsidR="00703852">
        <w:rPr>
          <w:rFonts w:ascii="Times New Roman" w:hAnsi="Times New Roman" w:cs="Times New Roman"/>
          <w:sz w:val="24"/>
          <w:szCs w:val="24"/>
        </w:rPr>
        <w:t xml:space="preserve"> for the </w:t>
      </w:r>
      <w:r>
        <w:rPr>
          <w:rFonts w:ascii="Times New Roman" w:hAnsi="Times New Roman" w:cs="Times New Roman"/>
          <w:sz w:val="24"/>
          <w:szCs w:val="24"/>
        </w:rPr>
        <w:t xml:space="preserve">impact assessment on the review of the ecodesign and energy labelling legislation on tumble </w:t>
      </w:r>
      <w:r>
        <w:rPr>
          <w:rFonts w:ascii="Times New Roman" w:hAnsi="Times New Roman" w:cs="Times New Roman"/>
          <w:sz w:val="24"/>
          <w:szCs w:val="24"/>
        </w:rPr>
        <w:lastRenderedPageBreak/>
        <w:t>dryers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(henceforth “the 2022 IA”)</w:t>
      </w:r>
      <w:r w:rsidR="00D805BF">
        <w:rPr>
          <w:rFonts w:ascii="Times New Roman" w:hAnsi="Times New Roman" w:cs="Times New Roman"/>
          <w:sz w:val="24"/>
          <w:szCs w:val="24"/>
        </w:rPr>
        <w:t xml:space="preserve">, indicates that for each unit produced, </w:t>
      </w:r>
      <w:r w:rsidR="00283002">
        <w:rPr>
          <w:rFonts w:ascii="Times New Roman" w:hAnsi="Times New Roman" w:cs="Times New Roman"/>
          <w:sz w:val="24"/>
          <w:szCs w:val="24"/>
        </w:rPr>
        <w:t>4</w:t>
      </w:r>
      <w:r w:rsidR="00A320D5">
        <w:rPr>
          <w:rFonts w:ascii="Times New Roman" w:hAnsi="Times New Roman" w:cs="Times New Roman"/>
          <w:sz w:val="24"/>
          <w:szCs w:val="24"/>
        </w:rPr>
        <w:t>.</w:t>
      </w:r>
      <w:r w:rsidR="00283002">
        <w:rPr>
          <w:rFonts w:ascii="Times New Roman" w:hAnsi="Times New Roman" w:cs="Times New Roman"/>
          <w:sz w:val="24"/>
          <w:szCs w:val="24"/>
        </w:rPr>
        <w:t xml:space="preserve">6 </w:t>
      </w:r>
      <w:r w:rsidR="00A320D5">
        <w:rPr>
          <w:rFonts w:ascii="Times New Roman" w:hAnsi="Times New Roman" w:cs="Times New Roman"/>
          <w:sz w:val="24"/>
          <w:szCs w:val="24"/>
        </w:rPr>
        <w:t>G</w:t>
      </w:r>
      <w:r w:rsidR="00283002">
        <w:rPr>
          <w:rFonts w:ascii="Times New Roman" w:hAnsi="Times New Roman" w:cs="Times New Roman"/>
          <w:sz w:val="24"/>
          <w:szCs w:val="24"/>
        </w:rPr>
        <w:t xml:space="preserve">J energy </w:t>
      </w:r>
      <w:r w:rsidR="005F11F2">
        <w:rPr>
          <w:rFonts w:ascii="Times New Roman" w:hAnsi="Times New Roman" w:cs="Times New Roman"/>
          <w:sz w:val="24"/>
          <w:szCs w:val="24"/>
        </w:rPr>
        <w:t>are consumed on average</w:t>
      </w:r>
      <w:r w:rsidR="00283002">
        <w:rPr>
          <w:rFonts w:ascii="Times New Roman" w:hAnsi="Times New Roman" w:cs="Times New Roman"/>
          <w:sz w:val="24"/>
          <w:szCs w:val="24"/>
        </w:rPr>
        <w:t xml:space="preserve">, generating 14 kg </w:t>
      </w:r>
      <w:r w:rsidR="00907FB5">
        <w:rPr>
          <w:rFonts w:ascii="Times New Roman" w:hAnsi="Times New Roman" w:cs="Times New Roman"/>
          <w:sz w:val="24"/>
          <w:szCs w:val="24"/>
        </w:rPr>
        <w:t xml:space="preserve">landfill </w:t>
      </w:r>
      <w:r w:rsidR="00283002">
        <w:rPr>
          <w:rFonts w:ascii="Times New Roman" w:hAnsi="Times New Roman" w:cs="Times New Roman"/>
          <w:sz w:val="24"/>
          <w:szCs w:val="24"/>
        </w:rPr>
        <w:t xml:space="preserve">waste at the end of its lifetime. </w:t>
      </w:r>
      <w:r w:rsidR="005F11F2">
        <w:rPr>
          <w:rFonts w:ascii="Times New Roman" w:hAnsi="Times New Roman" w:cs="Times New Roman"/>
          <w:sz w:val="24"/>
          <w:szCs w:val="24"/>
        </w:rPr>
        <w:t xml:space="preserve">In addition, the production of </w:t>
      </w:r>
      <w:r w:rsidR="00FB50C2">
        <w:rPr>
          <w:rFonts w:ascii="Times New Roman" w:hAnsi="Times New Roman" w:cs="Times New Roman"/>
          <w:sz w:val="24"/>
          <w:szCs w:val="24"/>
        </w:rPr>
        <w:t>a single tumble dryer</w:t>
      </w:r>
      <w:r w:rsidR="005F11F2">
        <w:rPr>
          <w:rFonts w:ascii="Times New Roman" w:hAnsi="Times New Roman" w:cs="Times New Roman"/>
          <w:sz w:val="24"/>
          <w:szCs w:val="24"/>
        </w:rPr>
        <w:t xml:space="preserve"> generates 241 kg CO2eq., 1</w:t>
      </w:r>
      <w:r w:rsidR="00FF0C32">
        <w:rPr>
          <w:rFonts w:ascii="Times New Roman" w:hAnsi="Times New Roman" w:cs="Times New Roman"/>
          <w:sz w:val="24"/>
          <w:szCs w:val="24"/>
        </w:rPr>
        <w:t>.</w:t>
      </w:r>
      <w:r w:rsidR="005F11F2">
        <w:rPr>
          <w:rFonts w:ascii="Times New Roman" w:hAnsi="Times New Roman" w:cs="Times New Roman"/>
          <w:sz w:val="24"/>
          <w:szCs w:val="24"/>
        </w:rPr>
        <w:t xml:space="preserve">5 </w:t>
      </w:r>
      <w:r w:rsidR="00FF0C32">
        <w:rPr>
          <w:rFonts w:ascii="Times New Roman" w:hAnsi="Times New Roman" w:cs="Times New Roman"/>
          <w:sz w:val="24"/>
          <w:szCs w:val="24"/>
        </w:rPr>
        <w:t>k</w:t>
      </w:r>
      <w:r w:rsidR="005F11F2">
        <w:rPr>
          <w:rFonts w:ascii="Times New Roman" w:hAnsi="Times New Roman" w:cs="Times New Roman"/>
          <w:sz w:val="24"/>
          <w:szCs w:val="24"/>
        </w:rPr>
        <w:t xml:space="preserve">g SO2eq, 916 g particulate matter (PM) and 6 g volatile organic compounds (VOC). </w:t>
      </w:r>
      <w:r w:rsidR="0025315E">
        <w:rPr>
          <w:rFonts w:ascii="Times New Roman" w:hAnsi="Times New Roman" w:cs="Times New Roman"/>
          <w:sz w:val="24"/>
          <w:szCs w:val="24"/>
        </w:rPr>
        <w:t>The unitary figures extended to the whole EU market will result</w:t>
      </w:r>
      <w:r w:rsidR="005767EE">
        <w:rPr>
          <w:rFonts w:ascii="Times New Roman" w:hAnsi="Times New Roman" w:cs="Times New Roman"/>
          <w:sz w:val="24"/>
          <w:szCs w:val="24"/>
        </w:rPr>
        <w:t xml:space="preserve">, in 2040, in </w:t>
      </w:r>
      <w:r w:rsidR="0059041F">
        <w:rPr>
          <w:rFonts w:ascii="Times New Roman" w:hAnsi="Times New Roman" w:cs="Times New Roman"/>
          <w:sz w:val="24"/>
          <w:szCs w:val="24"/>
        </w:rPr>
        <w:t>9,720</w:t>
      </w:r>
      <w:r w:rsidR="00EB1077">
        <w:rPr>
          <w:rFonts w:ascii="Times New Roman" w:hAnsi="Times New Roman" w:cs="Times New Roman"/>
          <w:sz w:val="24"/>
          <w:szCs w:val="24"/>
        </w:rPr>
        <w:t xml:space="preserve"> T</w:t>
      </w:r>
      <w:r w:rsidR="0059041F">
        <w:rPr>
          <w:rFonts w:ascii="Times New Roman" w:hAnsi="Times New Roman" w:cs="Times New Roman"/>
          <w:sz w:val="24"/>
          <w:szCs w:val="24"/>
        </w:rPr>
        <w:t>J (terajoules)</w:t>
      </w:r>
      <w:r w:rsidR="00EB1077">
        <w:rPr>
          <w:rFonts w:ascii="Times New Roman" w:hAnsi="Times New Roman" w:cs="Times New Roman"/>
          <w:sz w:val="24"/>
          <w:szCs w:val="24"/>
        </w:rPr>
        <w:t xml:space="preserve"> </w:t>
      </w:r>
      <w:r w:rsidR="003F469D">
        <w:rPr>
          <w:rFonts w:ascii="Times New Roman" w:hAnsi="Times New Roman" w:cs="Times New Roman"/>
          <w:sz w:val="24"/>
          <w:szCs w:val="24"/>
        </w:rPr>
        <w:t xml:space="preserve">additional </w:t>
      </w:r>
      <w:r w:rsidR="00EB1077">
        <w:rPr>
          <w:rFonts w:ascii="Times New Roman" w:hAnsi="Times New Roman" w:cs="Times New Roman"/>
          <w:sz w:val="24"/>
          <w:szCs w:val="24"/>
        </w:rPr>
        <w:t>energy consumption</w:t>
      </w:r>
      <w:r w:rsidR="003F469D">
        <w:rPr>
          <w:rFonts w:ascii="Times New Roman" w:hAnsi="Times New Roman" w:cs="Times New Roman"/>
          <w:sz w:val="24"/>
          <w:szCs w:val="24"/>
        </w:rPr>
        <w:t>,</w:t>
      </w:r>
      <w:r w:rsidR="00EB1077">
        <w:rPr>
          <w:rFonts w:ascii="Times New Roman" w:hAnsi="Times New Roman" w:cs="Times New Roman"/>
          <w:sz w:val="24"/>
          <w:szCs w:val="24"/>
        </w:rPr>
        <w:t xml:space="preserve"> 1</w:t>
      </w:r>
      <w:r w:rsidR="00FF0C32">
        <w:rPr>
          <w:rFonts w:ascii="Times New Roman" w:hAnsi="Times New Roman" w:cs="Times New Roman"/>
          <w:sz w:val="24"/>
          <w:szCs w:val="24"/>
        </w:rPr>
        <w:t>.</w:t>
      </w:r>
      <w:r w:rsidR="00EB1077">
        <w:rPr>
          <w:rFonts w:ascii="Times New Roman" w:hAnsi="Times New Roman" w:cs="Times New Roman"/>
          <w:sz w:val="24"/>
          <w:szCs w:val="24"/>
        </w:rPr>
        <w:t xml:space="preserve">5 mtCO2e </w:t>
      </w:r>
      <w:r w:rsidR="003F469D">
        <w:rPr>
          <w:rFonts w:ascii="Times New Roman" w:hAnsi="Times New Roman" w:cs="Times New Roman"/>
          <w:sz w:val="24"/>
          <w:szCs w:val="24"/>
        </w:rPr>
        <w:t xml:space="preserve">additional </w:t>
      </w:r>
      <w:r w:rsidR="00EB1077">
        <w:rPr>
          <w:rFonts w:ascii="Times New Roman" w:hAnsi="Times New Roman" w:cs="Times New Roman"/>
          <w:sz w:val="24"/>
          <w:szCs w:val="24"/>
        </w:rPr>
        <w:t>greenhouse gas emissions</w:t>
      </w:r>
      <w:r w:rsidR="003F469D">
        <w:rPr>
          <w:rFonts w:ascii="Times New Roman" w:hAnsi="Times New Roman" w:cs="Times New Roman"/>
          <w:sz w:val="24"/>
          <w:szCs w:val="24"/>
        </w:rPr>
        <w:t xml:space="preserve"> and 114</w:t>
      </w:r>
      <w:r w:rsidR="00FF0C32">
        <w:rPr>
          <w:rFonts w:ascii="Times New Roman" w:hAnsi="Times New Roman" w:cs="Times New Roman"/>
          <w:sz w:val="24"/>
          <w:szCs w:val="24"/>
        </w:rPr>
        <w:t xml:space="preserve"> kilotons</w:t>
      </w:r>
      <w:r w:rsidR="003F469D">
        <w:rPr>
          <w:rFonts w:ascii="Times New Roman" w:hAnsi="Times New Roman" w:cs="Times New Roman"/>
          <w:sz w:val="24"/>
          <w:szCs w:val="24"/>
        </w:rPr>
        <w:t xml:space="preserve"> extra waste</w:t>
      </w:r>
      <w:r w:rsidR="00EB1077">
        <w:rPr>
          <w:rFonts w:ascii="Times New Roman" w:hAnsi="Times New Roman" w:cs="Times New Roman"/>
          <w:sz w:val="24"/>
          <w:szCs w:val="24"/>
        </w:rPr>
        <w:t xml:space="preserve">. </w:t>
      </w:r>
    </w:p>
    <w:p w14:paraId="2D439727" w14:textId="7EF26FED" w:rsidR="0066422A" w:rsidRDefault="0066422A" w:rsidP="0066422A">
      <w:pPr>
        <w:jc w:val="both"/>
        <w:rPr>
          <w:rFonts w:ascii="Times New Roman" w:hAnsi="Times New Roman" w:cs="Times New Roman"/>
          <w:sz w:val="24"/>
          <w:szCs w:val="24"/>
        </w:rPr>
      </w:pPr>
      <w:r>
        <w:rPr>
          <w:rFonts w:ascii="Times New Roman" w:hAnsi="Times New Roman" w:cs="Times New Roman"/>
          <w:sz w:val="24"/>
          <w:szCs w:val="24"/>
        </w:rPr>
        <w:t xml:space="preserve">To </w:t>
      </w:r>
      <w:r w:rsidR="00124CF1">
        <w:rPr>
          <w:rFonts w:ascii="Times New Roman" w:hAnsi="Times New Roman" w:cs="Times New Roman"/>
          <w:sz w:val="24"/>
          <w:szCs w:val="24"/>
        </w:rPr>
        <w:t xml:space="preserve">help </w:t>
      </w:r>
      <w:r>
        <w:rPr>
          <w:rFonts w:ascii="Times New Roman" w:hAnsi="Times New Roman" w:cs="Times New Roman"/>
          <w:sz w:val="24"/>
          <w:szCs w:val="24"/>
        </w:rPr>
        <w:t xml:space="preserve">revert the trend and </w:t>
      </w:r>
      <w:r w:rsidR="00124CF1">
        <w:rPr>
          <w:rFonts w:ascii="Times New Roman" w:hAnsi="Times New Roman" w:cs="Times New Roman"/>
          <w:sz w:val="24"/>
          <w:szCs w:val="24"/>
        </w:rPr>
        <w:t xml:space="preserve">contribute </w:t>
      </w:r>
      <w:r>
        <w:rPr>
          <w:rFonts w:ascii="Times New Roman" w:hAnsi="Times New Roman" w:cs="Times New Roman"/>
          <w:sz w:val="24"/>
          <w:szCs w:val="24"/>
        </w:rPr>
        <w:t xml:space="preserve">to </w:t>
      </w:r>
      <w:r w:rsidR="00124CF1">
        <w:rPr>
          <w:rFonts w:ascii="Times New Roman" w:hAnsi="Times New Roman" w:cs="Times New Roman"/>
          <w:sz w:val="24"/>
          <w:szCs w:val="24"/>
        </w:rPr>
        <w:t xml:space="preserve">increasing the </w:t>
      </w:r>
      <w:r w:rsidR="00E30291">
        <w:rPr>
          <w:rFonts w:ascii="Times New Roman" w:hAnsi="Times New Roman" w:cs="Times New Roman"/>
          <w:sz w:val="24"/>
          <w:szCs w:val="24"/>
        </w:rPr>
        <w:t xml:space="preserve">lifetime of tumble dryers </w:t>
      </w:r>
      <w:r>
        <w:rPr>
          <w:rFonts w:ascii="Times New Roman" w:hAnsi="Times New Roman" w:cs="Times New Roman"/>
          <w:sz w:val="24"/>
          <w:szCs w:val="24"/>
        </w:rPr>
        <w:t>to 14 years on average, Regulation (EU) 2023/</w:t>
      </w:r>
      <w:r w:rsidR="001D7641">
        <w:rPr>
          <w:rFonts w:ascii="Times New Roman" w:hAnsi="Times New Roman" w:cs="Times New Roman"/>
          <w:sz w:val="24"/>
          <w:szCs w:val="24"/>
        </w:rPr>
        <w:t xml:space="preserve">2533 </w:t>
      </w:r>
      <w:r w:rsidR="0025315E">
        <w:rPr>
          <w:rFonts w:ascii="Times New Roman" w:hAnsi="Times New Roman" w:cs="Times New Roman"/>
          <w:sz w:val="24"/>
          <w:szCs w:val="24"/>
        </w:rPr>
        <w:t>includes</w:t>
      </w:r>
      <w:r>
        <w:rPr>
          <w:rFonts w:ascii="Times New Roman" w:hAnsi="Times New Roman" w:cs="Times New Roman"/>
          <w:sz w:val="24"/>
          <w:szCs w:val="24"/>
        </w:rPr>
        <w:t xml:space="preserve"> a list of spare parts which must be available by manufacturers to consumers and professional repairers, including the provision of repair and maintenance information. The </w:t>
      </w:r>
      <w:r w:rsidR="00E30291">
        <w:rPr>
          <w:rFonts w:ascii="Times New Roman" w:hAnsi="Times New Roman" w:cs="Times New Roman"/>
          <w:sz w:val="24"/>
          <w:szCs w:val="24"/>
        </w:rPr>
        <w:t xml:space="preserve">environmental and economic </w:t>
      </w:r>
      <w:r>
        <w:rPr>
          <w:rFonts w:ascii="Times New Roman" w:hAnsi="Times New Roman" w:cs="Times New Roman"/>
          <w:sz w:val="24"/>
          <w:szCs w:val="24"/>
        </w:rPr>
        <w:t xml:space="preserve">impacts of this measure </w:t>
      </w:r>
      <w:r w:rsidR="00E30291">
        <w:rPr>
          <w:rFonts w:ascii="Times New Roman" w:hAnsi="Times New Roman" w:cs="Times New Roman"/>
          <w:sz w:val="24"/>
          <w:szCs w:val="24"/>
        </w:rPr>
        <w:t>are</w:t>
      </w:r>
      <w:r>
        <w:rPr>
          <w:rFonts w:ascii="Times New Roman" w:hAnsi="Times New Roman" w:cs="Times New Roman"/>
          <w:sz w:val="24"/>
          <w:szCs w:val="24"/>
        </w:rPr>
        <w:t xml:space="preserve"> addressed in the 2022 IA</w:t>
      </w:r>
      <w:r w:rsidR="003A6356">
        <w:rPr>
          <w:rFonts w:ascii="Times New Roman" w:hAnsi="Times New Roman" w:cs="Times New Roman"/>
          <w:sz w:val="24"/>
          <w:szCs w:val="24"/>
        </w:rPr>
        <w:t xml:space="preserve"> under policy option 4 (PO4)</w:t>
      </w:r>
      <w:r w:rsidR="007351FA">
        <w:rPr>
          <w:rFonts w:ascii="Times New Roman" w:hAnsi="Times New Roman" w:cs="Times New Roman"/>
          <w:sz w:val="24"/>
          <w:szCs w:val="24"/>
        </w:rPr>
        <w:t>. The 2022 IA assumes that by applying PO4, the average lifetime of tumble dryers will be lengthened by two years</w:t>
      </w:r>
      <w:r>
        <w:rPr>
          <w:rFonts w:ascii="Times New Roman" w:hAnsi="Times New Roman" w:cs="Times New Roman"/>
          <w:sz w:val="24"/>
          <w:szCs w:val="24"/>
        </w:rPr>
        <w:t>.</w:t>
      </w:r>
      <w:r w:rsidR="003A6356">
        <w:rPr>
          <w:rFonts w:ascii="Times New Roman" w:hAnsi="Times New Roman" w:cs="Times New Roman"/>
          <w:sz w:val="24"/>
          <w:szCs w:val="24"/>
        </w:rPr>
        <w:t xml:space="preserve"> </w:t>
      </w:r>
      <w:r w:rsidR="007351FA">
        <w:rPr>
          <w:rFonts w:ascii="Times New Roman" w:hAnsi="Times New Roman" w:cs="Times New Roman"/>
          <w:sz w:val="24"/>
          <w:szCs w:val="24"/>
        </w:rPr>
        <w:t xml:space="preserve">However, the 2022 IA also explains that </w:t>
      </w:r>
      <w:r>
        <w:rPr>
          <w:rFonts w:ascii="Times New Roman" w:hAnsi="Times New Roman" w:cs="Times New Roman"/>
          <w:sz w:val="24"/>
          <w:szCs w:val="24"/>
        </w:rPr>
        <w:t xml:space="preserve">this assumption </w:t>
      </w:r>
      <w:r w:rsidR="007351FA">
        <w:rPr>
          <w:rFonts w:ascii="Times New Roman" w:hAnsi="Times New Roman" w:cs="Times New Roman"/>
          <w:sz w:val="24"/>
          <w:szCs w:val="24"/>
        </w:rPr>
        <w:t xml:space="preserve">is </w:t>
      </w:r>
      <w:r>
        <w:rPr>
          <w:rFonts w:ascii="Times New Roman" w:hAnsi="Times New Roman" w:cs="Times New Roman"/>
          <w:sz w:val="24"/>
          <w:szCs w:val="24"/>
        </w:rPr>
        <w:t xml:space="preserve">based on opinions from repair and service businesses, but there is no </w:t>
      </w:r>
      <w:r w:rsidR="003A17F4">
        <w:rPr>
          <w:rFonts w:ascii="Times New Roman" w:hAnsi="Times New Roman" w:cs="Times New Roman"/>
          <w:sz w:val="24"/>
          <w:szCs w:val="24"/>
        </w:rPr>
        <w:t xml:space="preserve">further/actual </w:t>
      </w:r>
      <w:r>
        <w:rPr>
          <w:rFonts w:ascii="Times New Roman" w:hAnsi="Times New Roman" w:cs="Times New Roman"/>
          <w:sz w:val="24"/>
          <w:szCs w:val="24"/>
        </w:rPr>
        <w:t xml:space="preserve">evidence </w:t>
      </w:r>
      <w:r w:rsidR="007351FA">
        <w:rPr>
          <w:rFonts w:ascii="Times New Roman" w:hAnsi="Times New Roman" w:cs="Times New Roman"/>
          <w:sz w:val="24"/>
          <w:szCs w:val="24"/>
        </w:rPr>
        <w:t>behind it</w:t>
      </w:r>
      <w:r>
        <w:rPr>
          <w:rFonts w:ascii="Times New Roman" w:hAnsi="Times New Roman" w:cs="Times New Roman"/>
          <w:sz w:val="24"/>
          <w:szCs w:val="24"/>
        </w:rPr>
        <w:t xml:space="preserve">. The 2019 </w:t>
      </w:r>
      <w:r w:rsidR="004A1529">
        <w:rPr>
          <w:rFonts w:ascii="Times New Roman" w:hAnsi="Times New Roman" w:cs="Times New Roman"/>
          <w:sz w:val="24"/>
          <w:szCs w:val="24"/>
        </w:rPr>
        <w:t>review</w:t>
      </w:r>
      <w:r>
        <w:rPr>
          <w:rFonts w:ascii="Times New Roman" w:hAnsi="Times New Roman" w:cs="Times New Roman"/>
          <w:sz w:val="24"/>
          <w:szCs w:val="24"/>
        </w:rPr>
        <w:t xml:space="preserve"> study </w:t>
      </w:r>
      <w:r w:rsidR="004A1529">
        <w:rPr>
          <w:rFonts w:ascii="Times New Roman" w:hAnsi="Times New Roman" w:cs="Times New Roman"/>
          <w:sz w:val="24"/>
          <w:szCs w:val="24"/>
        </w:rPr>
        <w:t xml:space="preserve">on household tumble dryers </w:t>
      </w:r>
      <w:r w:rsidR="007351FA">
        <w:rPr>
          <w:rFonts w:ascii="Times New Roman" w:hAnsi="Times New Roman" w:cs="Times New Roman"/>
          <w:sz w:val="24"/>
          <w:szCs w:val="24"/>
        </w:rPr>
        <w:t xml:space="preserve">also </w:t>
      </w:r>
      <w:r>
        <w:rPr>
          <w:rFonts w:ascii="Times New Roman" w:hAnsi="Times New Roman" w:cs="Times New Roman"/>
          <w:sz w:val="24"/>
          <w:szCs w:val="24"/>
        </w:rPr>
        <w:t xml:space="preserve">acknowledges that it is not possible to know with certainty for how long the lifetime </w:t>
      </w:r>
      <w:r w:rsidR="007351FA">
        <w:rPr>
          <w:rFonts w:ascii="Times New Roman" w:hAnsi="Times New Roman" w:cs="Times New Roman"/>
          <w:sz w:val="24"/>
          <w:szCs w:val="24"/>
        </w:rPr>
        <w:t xml:space="preserve">of a tumble dryer </w:t>
      </w:r>
      <w:r>
        <w:rPr>
          <w:rFonts w:ascii="Times New Roman" w:hAnsi="Times New Roman" w:cs="Times New Roman"/>
          <w:sz w:val="24"/>
          <w:szCs w:val="24"/>
        </w:rPr>
        <w:t>will be extended</w:t>
      </w:r>
      <w:r w:rsidR="007351FA">
        <w:rPr>
          <w:rFonts w:ascii="Times New Roman" w:hAnsi="Times New Roman" w:cs="Times New Roman"/>
          <w:sz w:val="24"/>
          <w:szCs w:val="24"/>
        </w:rPr>
        <w:t xml:space="preserve"> by applying circular economy measures</w:t>
      </w:r>
      <w:r>
        <w:rPr>
          <w:rFonts w:ascii="Times New Roman" w:hAnsi="Times New Roman" w:cs="Times New Roman"/>
          <w:sz w:val="24"/>
          <w:szCs w:val="24"/>
        </w:rPr>
        <w:t>.</w:t>
      </w:r>
    </w:p>
    <w:p w14:paraId="02E531D7" w14:textId="7CB1114E" w:rsidR="0066422A" w:rsidRDefault="0066422A" w:rsidP="0066422A">
      <w:pPr>
        <w:jc w:val="both"/>
        <w:rPr>
          <w:rFonts w:ascii="Times New Roman" w:hAnsi="Times New Roman" w:cs="Times New Roman"/>
          <w:sz w:val="24"/>
          <w:szCs w:val="24"/>
        </w:rPr>
      </w:pPr>
      <w:r>
        <w:rPr>
          <w:rFonts w:ascii="Times New Roman" w:hAnsi="Times New Roman" w:cs="Times New Roman"/>
          <w:sz w:val="24"/>
          <w:szCs w:val="24"/>
        </w:rPr>
        <w:t xml:space="preserve">A </w:t>
      </w:r>
      <w:r w:rsidR="00A65759">
        <w:rPr>
          <w:rFonts w:ascii="Times New Roman" w:hAnsi="Times New Roman" w:cs="Times New Roman"/>
          <w:sz w:val="24"/>
          <w:szCs w:val="24"/>
        </w:rPr>
        <w:t>repairability</w:t>
      </w:r>
      <w:r>
        <w:rPr>
          <w:rFonts w:ascii="Times New Roman" w:hAnsi="Times New Roman" w:cs="Times New Roman"/>
          <w:sz w:val="24"/>
          <w:szCs w:val="24"/>
        </w:rPr>
        <w:t xml:space="preserve"> score</w:t>
      </w:r>
      <w:r w:rsidR="001160A0">
        <w:rPr>
          <w:rFonts w:ascii="Times New Roman" w:hAnsi="Times New Roman" w:cs="Times New Roman"/>
          <w:sz w:val="24"/>
          <w:szCs w:val="24"/>
        </w:rPr>
        <w:t xml:space="preserve"> (which would be </w:t>
      </w:r>
      <w:r>
        <w:rPr>
          <w:rFonts w:ascii="Times New Roman" w:hAnsi="Times New Roman" w:cs="Times New Roman"/>
          <w:sz w:val="24"/>
          <w:szCs w:val="24"/>
        </w:rPr>
        <w:t>displayed in the energy label by means of an A-to-D score, as it is for smartphones and tablets</w:t>
      </w:r>
      <w:r w:rsidR="001160A0">
        <w:rPr>
          <w:rFonts w:ascii="Times New Roman" w:hAnsi="Times New Roman" w:cs="Times New Roman"/>
          <w:sz w:val="24"/>
          <w:szCs w:val="24"/>
        </w:rPr>
        <w:t>)</w:t>
      </w:r>
      <w:r>
        <w:rPr>
          <w:rFonts w:ascii="Times New Roman" w:hAnsi="Times New Roman" w:cs="Times New Roman"/>
          <w:sz w:val="24"/>
          <w:szCs w:val="24"/>
        </w:rPr>
        <w:t xml:space="preserve"> would be a </w:t>
      </w:r>
      <w:r w:rsidR="00124CF1">
        <w:rPr>
          <w:rFonts w:ascii="Times New Roman" w:hAnsi="Times New Roman" w:cs="Times New Roman"/>
          <w:sz w:val="24"/>
          <w:szCs w:val="24"/>
        </w:rPr>
        <w:t xml:space="preserve">complementary </w:t>
      </w:r>
      <w:r>
        <w:rPr>
          <w:rFonts w:ascii="Times New Roman" w:hAnsi="Times New Roman" w:cs="Times New Roman"/>
          <w:sz w:val="24"/>
          <w:szCs w:val="24"/>
        </w:rPr>
        <w:t xml:space="preserve">driver </w:t>
      </w:r>
      <w:r w:rsidR="00124CF1">
        <w:rPr>
          <w:rFonts w:ascii="Times New Roman" w:hAnsi="Times New Roman" w:cs="Times New Roman"/>
          <w:sz w:val="24"/>
          <w:szCs w:val="24"/>
        </w:rPr>
        <w:t xml:space="preserve">to </w:t>
      </w:r>
      <w:r>
        <w:rPr>
          <w:rFonts w:ascii="Times New Roman" w:hAnsi="Times New Roman" w:cs="Times New Roman"/>
          <w:sz w:val="24"/>
          <w:szCs w:val="24"/>
        </w:rPr>
        <w:t xml:space="preserve">the availability of spare parts for extending the lifetime of tumble dryers. This is because the </w:t>
      </w:r>
      <w:r w:rsidR="00A65759">
        <w:rPr>
          <w:rFonts w:ascii="Times New Roman" w:hAnsi="Times New Roman" w:cs="Times New Roman"/>
          <w:sz w:val="24"/>
          <w:szCs w:val="24"/>
        </w:rPr>
        <w:t>repairability</w:t>
      </w:r>
      <w:r>
        <w:rPr>
          <w:rFonts w:ascii="Times New Roman" w:hAnsi="Times New Roman" w:cs="Times New Roman"/>
          <w:sz w:val="24"/>
          <w:szCs w:val="24"/>
        </w:rPr>
        <w:t xml:space="preserve"> score becomes immediately visible to the consumers</w:t>
      </w:r>
      <w:r w:rsidR="007351FA">
        <w:rPr>
          <w:rFonts w:ascii="Times New Roman" w:hAnsi="Times New Roman" w:cs="Times New Roman"/>
          <w:sz w:val="24"/>
          <w:szCs w:val="24"/>
        </w:rPr>
        <w:t>,</w:t>
      </w:r>
      <w:r>
        <w:rPr>
          <w:rFonts w:ascii="Times New Roman" w:hAnsi="Times New Roman" w:cs="Times New Roman"/>
          <w:sz w:val="24"/>
          <w:szCs w:val="24"/>
        </w:rPr>
        <w:t xml:space="preserve"> who will</w:t>
      </w:r>
      <w:r w:rsidR="00102E4F">
        <w:rPr>
          <w:rFonts w:ascii="Times New Roman" w:hAnsi="Times New Roman" w:cs="Times New Roman"/>
          <w:sz w:val="24"/>
          <w:szCs w:val="24"/>
        </w:rPr>
        <w:t xml:space="preserve"> </w:t>
      </w:r>
      <w:r>
        <w:rPr>
          <w:rFonts w:ascii="Times New Roman" w:hAnsi="Times New Roman" w:cs="Times New Roman"/>
          <w:sz w:val="24"/>
          <w:szCs w:val="24"/>
        </w:rPr>
        <w:t xml:space="preserve">be </w:t>
      </w:r>
      <w:r w:rsidR="00124CF1">
        <w:rPr>
          <w:rFonts w:ascii="Times New Roman" w:hAnsi="Times New Roman" w:cs="Times New Roman"/>
          <w:sz w:val="24"/>
          <w:szCs w:val="24"/>
        </w:rPr>
        <w:t xml:space="preserve">made </w:t>
      </w:r>
      <w:r>
        <w:rPr>
          <w:rFonts w:ascii="Times New Roman" w:hAnsi="Times New Roman" w:cs="Times New Roman"/>
          <w:sz w:val="24"/>
          <w:szCs w:val="24"/>
        </w:rPr>
        <w:t>aware of how repairable the product is</w:t>
      </w:r>
      <w:r w:rsidR="00124CF1">
        <w:rPr>
          <w:rFonts w:ascii="Times New Roman" w:hAnsi="Times New Roman" w:cs="Times New Roman"/>
          <w:sz w:val="24"/>
          <w:szCs w:val="24"/>
        </w:rPr>
        <w:t xml:space="preserve"> at the time of choosing/purchasing a product</w:t>
      </w:r>
      <w:r>
        <w:rPr>
          <w:rFonts w:ascii="Times New Roman" w:hAnsi="Times New Roman" w:cs="Times New Roman"/>
          <w:sz w:val="24"/>
          <w:szCs w:val="24"/>
        </w:rPr>
        <w:t>. The repairability score is therefore likely to have a</w:t>
      </w:r>
      <w:r w:rsidR="00102E4F">
        <w:rPr>
          <w:rFonts w:ascii="Times New Roman" w:hAnsi="Times New Roman" w:cs="Times New Roman"/>
          <w:sz w:val="24"/>
          <w:szCs w:val="24"/>
        </w:rPr>
        <w:t xml:space="preserve"> </w:t>
      </w:r>
      <w:r w:rsidR="00847CD3">
        <w:rPr>
          <w:rFonts w:ascii="Times New Roman" w:hAnsi="Times New Roman" w:cs="Times New Roman"/>
          <w:sz w:val="24"/>
          <w:szCs w:val="24"/>
        </w:rPr>
        <w:t>larger</w:t>
      </w:r>
      <w:r>
        <w:rPr>
          <w:rFonts w:ascii="Times New Roman" w:hAnsi="Times New Roman" w:cs="Times New Roman"/>
          <w:sz w:val="24"/>
          <w:szCs w:val="24"/>
        </w:rPr>
        <w:t xml:space="preserve"> impact </w:t>
      </w:r>
      <w:r w:rsidR="001160A0">
        <w:rPr>
          <w:rFonts w:ascii="Times New Roman" w:hAnsi="Times New Roman" w:cs="Times New Roman"/>
          <w:sz w:val="24"/>
          <w:szCs w:val="24"/>
        </w:rPr>
        <w:t xml:space="preserve">than the availability of spare parts </w:t>
      </w:r>
      <w:r>
        <w:rPr>
          <w:rFonts w:ascii="Times New Roman" w:hAnsi="Times New Roman" w:cs="Times New Roman"/>
          <w:sz w:val="24"/>
          <w:szCs w:val="24"/>
        </w:rPr>
        <w:t xml:space="preserve">on the purchase decision of the consumer and </w:t>
      </w:r>
      <w:r w:rsidR="007351FA">
        <w:rPr>
          <w:rFonts w:ascii="Times New Roman" w:hAnsi="Times New Roman" w:cs="Times New Roman"/>
          <w:sz w:val="24"/>
          <w:szCs w:val="24"/>
        </w:rPr>
        <w:t xml:space="preserve">the placing </w:t>
      </w:r>
      <w:r>
        <w:rPr>
          <w:rFonts w:ascii="Times New Roman" w:hAnsi="Times New Roman" w:cs="Times New Roman"/>
          <w:sz w:val="24"/>
          <w:szCs w:val="24"/>
        </w:rPr>
        <w:t xml:space="preserve">on the market </w:t>
      </w:r>
      <w:r w:rsidR="007351FA">
        <w:rPr>
          <w:rFonts w:ascii="Times New Roman" w:hAnsi="Times New Roman" w:cs="Times New Roman"/>
          <w:sz w:val="24"/>
          <w:szCs w:val="24"/>
        </w:rPr>
        <w:t xml:space="preserve">of </w:t>
      </w:r>
      <w:r>
        <w:rPr>
          <w:rFonts w:ascii="Times New Roman" w:hAnsi="Times New Roman" w:cs="Times New Roman"/>
          <w:sz w:val="24"/>
          <w:szCs w:val="24"/>
        </w:rPr>
        <w:t>more repairable products</w:t>
      </w:r>
      <w:r w:rsidR="00124CF1">
        <w:rPr>
          <w:rFonts w:ascii="Times New Roman" w:hAnsi="Times New Roman" w:cs="Times New Roman"/>
          <w:sz w:val="24"/>
          <w:szCs w:val="24"/>
        </w:rPr>
        <w:t xml:space="preserve"> by suppliers</w:t>
      </w:r>
      <w:r>
        <w:rPr>
          <w:rFonts w:ascii="Times New Roman" w:hAnsi="Times New Roman" w:cs="Times New Roman"/>
          <w:sz w:val="24"/>
          <w:szCs w:val="24"/>
        </w:rPr>
        <w:t>.</w:t>
      </w:r>
      <w:r w:rsidR="001160A0">
        <w:rPr>
          <w:rFonts w:ascii="Times New Roman" w:hAnsi="Times New Roman" w:cs="Times New Roman"/>
          <w:sz w:val="24"/>
          <w:szCs w:val="24"/>
        </w:rPr>
        <w:t xml:space="preserve"> Availability of spare parts is a</w:t>
      </w:r>
      <w:r w:rsidR="00124CF1">
        <w:rPr>
          <w:rFonts w:ascii="Times New Roman" w:hAnsi="Times New Roman" w:cs="Times New Roman"/>
          <w:sz w:val="24"/>
          <w:szCs w:val="24"/>
        </w:rPr>
        <w:t>n important but</w:t>
      </w:r>
      <w:r w:rsidR="001160A0">
        <w:rPr>
          <w:rFonts w:ascii="Times New Roman" w:hAnsi="Times New Roman" w:cs="Times New Roman"/>
          <w:sz w:val="24"/>
          <w:szCs w:val="24"/>
        </w:rPr>
        <w:t xml:space="preserve"> less visible </w:t>
      </w:r>
      <w:r w:rsidR="00124CF1">
        <w:rPr>
          <w:rFonts w:ascii="Times New Roman" w:hAnsi="Times New Roman" w:cs="Times New Roman"/>
          <w:sz w:val="24"/>
          <w:szCs w:val="24"/>
        </w:rPr>
        <w:t>factor</w:t>
      </w:r>
      <w:r w:rsidR="001160A0">
        <w:rPr>
          <w:rFonts w:ascii="Times New Roman" w:hAnsi="Times New Roman" w:cs="Times New Roman"/>
          <w:sz w:val="24"/>
          <w:szCs w:val="24"/>
        </w:rPr>
        <w:t xml:space="preserve"> which may not be </w:t>
      </w:r>
      <w:r w:rsidR="00124CF1">
        <w:rPr>
          <w:rFonts w:ascii="Times New Roman" w:hAnsi="Times New Roman" w:cs="Times New Roman"/>
          <w:sz w:val="24"/>
          <w:szCs w:val="24"/>
        </w:rPr>
        <w:t>considered</w:t>
      </w:r>
      <w:r w:rsidR="001160A0">
        <w:rPr>
          <w:rFonts w:ascii="Times New Roman" w:hAnsi="Times New Roman" w:cs="Times New Roman"/>
          <w:sz w:val="24"/>
          <w:szCs w:val="24"/>
        </w:rPr>
        <w:t xml:space="preserve"> by the consumer when buying the product</w:t>
      </w:r>
      <w:r>
        <w:rPr>
          <w:rFonts w:ascii="Times New Roman" w:hAnsi="Times New Roman" w:cs="Times New Roman"/>
          <w:sz w:val="24"/>
          <w:szCs w:val="24"/>
        </w:rPr>
        <w:t xml:space="preserve">. In this respect, availability of spare parts </w:t>
      </w:r>
      <w:r w:rsidR="003A17F4">
        <w:rPr>
          <w:rFonts w:ascii="Times New Roman" w:hAnsi="Times New Roman" w:cs="Times New Roman"/>
          <w:sz w:val="24"/>
          <w:szCs w:val="24"/>
        </w:rPr>
        <w:t>is</w:t>
      </w:r>
      <w:r>
        <w:rPr>
          <w:rFonts w:ascii="Times New Roman" w:hAnsi="Times New Roman" w:cs="Times New Roman"/>
          <w:sz w:val="24"/>
          <w:szCs w:val="24"/>
        </w:rPr>
        <w:t xml:space="preserve"> a </w:t>
      </w:r>
      <w:r w:rsidR="003A17F4">
        <w:rPr>
          <w:rFonts w:ascii="Times New Roman" w:hAnsi="Times New Roman" w:cs="Times New Roman"/>
          <w:sz w:val="24"/>
          <w:szCs w:val="24"/>
        </w:rPr>
        <w:t xml:space="preserve">complementary </w:t>
      </w:r>
      <w:r>
        <w:rPr>
          <w:rFonts w:ascii="Times New Roman" w:hAnsi="Times New Roman" w:cs="Times New Roman"/>
          <w:sz w:val="24"/>
          <w:szCs w:val="24"/>
        </w:rPr>
        <w:t xml:space="preserve">measure to the repairability score </w:t>
      </w:r>
      <w:r w:rsidR="001160A0">
        <w:rPr>
          <w:rFonts w:ascii="Times New Roman" w:hAnsi="Times New Roman" w:cs="Times New Roman"/>
          <w:sz w:val="24"/>
          <w:szCs w:val="24"/>
        </w:rPr>
        <w:t>since</w:t>
      </w:r>
      <w:r>
        <w:rPr>
          <w:rFonts w:ascii="Times New Roman" w:hAnsi="Times New Roman" w:cs="Times New Roman"/>
          <w:sz w:val="24"/>
          <w:szCs w:val="24"/>
        </w:rPr>
        <w:t xml:space="preserve"> a</w:t>
      </w:r>
      <w:r w:rsidR="003A17F4">
        <w:rPr>
          <w:rFonts w:ascii="Times New Roman" w:hAnsi="Times New Roman" w:cs="Times New Roman"/>
          <w:sz w:val="24"/>
          <w:szCs w:val="24"/>
        </w:rPr>
        <w:t>n increased</w:t>
      </w:r>
      <w:r>
        <w:rPr>
          <w:rFonts w:ascii="Times New Roman" w:hAnsi="Times New Roman" w:cs="Times New Roman"/>
          <w:sz w:val="24"/>
          <w:szCs w:val="24"/>
        </w:rPr>
        <w:t xml:space="preserve"> interest for repairing fostered by the energy label will </w:t>
      </w:r>
      <w:r w:rsidR="003A17F4">
        <w:rPr>
          <w:rFonts w:ascii="Times New Roman" w:hAnsi="Times New Roman" w:cs="Times New Roman"/>
          <w:sz w:val="24"/>
          <w:szCs w:val="24"/>
        </w:rPr>
        <w:t xml:space="preserve">ultimately </w:t>
      </w:r>
      <w:r w:rsidR="00847CD3">
        <w:rPr>
          <w:rFonts w:ascii="Times New Roman" w:hAnsi="Times New Roman" w:cs="Times New Roman"/>
          <w:sz w:val="24"/>
          <w:szCs w:val="24"/>
        </w:rPr>
        <w:t>increase demand for</w:t>
      </w:r>
      <w:r w:rsidR="001160A0">
        <w:rPr>
          <w:rFonts w:ascii="Times New Roman" w:hAnsi="Times New Roman" w:cs="Times New Roman"/>
          <w:sz w:val="24"/>
          <w:szCs w:val="24"/>
        </w:rPr>
        <w:t xml:space="preserve"> available </w:t>
      </w:r>
      <w:r>
        <w:rPr>
          <w:rFonts w:ascii="Times New Roman" w:hAnsi="Times New Roman" w:cs="Times New Roman"/>
          <w:sz w:val="24"/>
          <w:szCs w:val="24"/>
        </w:rPr>
        <w:t>spare parts.</w:t>
      </w:r>
    </w:p>
    <w:p w14:paraId="6DB77904" w14:textId="0B33CCFF" w:rsidR="001A222E" w:rsidRDefault="001A222E" w:rsidP="001A222E">
      <w:pPr>
        <w:pStyle w:val="Heading2"/>
      </w:pPr>
      <w:r>
        <w:t>Repairability score. General method and formula</w:t>
      </w:r>
    </w:p>
    <w:p w14:paraId="20796A25" w14:textId="53962AD6" w:rsidR="001A222E" w:rsidRDefault="001D62FF" w:rsidP="001A222E">
      <w:pPr>
        <w:jc w:val="both"/>
        <w:rPr>
          <w:rFonts w:ascii="Times New Roman" w:hAnsi="Times New Roman" w:cs="Times New Roman"/>
          <w:sz w:val="24"/>
          <w:szCs w:val="24"/>
        </w:rPr>
      </w:pPr>
      <w:r>
        <w:rPr>
          <w:rFonts w:ascii="Times New Roman" w:hAnsi="Times New Roman" w:cs="Times New Roman"/>
          <w:sz w:val="24"/>
          <w:szCs w:val="24"/>
        </w:rPr>
        <w:t xml:space="preserve">The European standard EN 45554:2020 on </w:t>
      </w:r>
      <w:r w:rsidRPr="009B72C0">
        <w:rPr>
          <w:rFonts w:ascii="Times New Roman" w:hAnsi="Times New Roman" w:cs="Times New Roman"/>
          <w:i/>
          <w:iCs/>
          <w:sz w:val="24"/>
          <w:szCs w:val="24"/>
        </w:rPr>
        <w:t>general methods for the assessment of the ability to repair, reuse and upgrade energy-related products</w:t>
      </w:r>
      <w:r>
        <w:rPr>
          <w:rFonts w:ascii="Times New Roman" w:hAnsi="Times New Roman" w:cs="Times New Roman"/>
          <w:sz w:val="24"/>
          <w:szCs w:val="24"/>
        </w:rPr>
        <w:t>, lays down a general procedure for the assessment of product repairability. This standard is the reference point for the JRC</w:t>
      </w:r>
      <w:r w:rsidR="00ED5D41">
        <w:rPr>
          <w:rFonts w:ascii="Times New Roman" w:hAnsi="Times New Roman" w:cs="Times New Roman"/>
          <w:sz w:val="24"/>
          <w:szCs w:val="24"/>
        </w:rPr>
        <w:t xml:space="preserve"> repairability study, which, in turn, is the basis for the repairability score for smartphones and tablets </w:t>
      </w:r>
      <w:r w:rsidR="00524AFC">
        <w:rPr>
          <w:rFonts w:ascii="Times New Roman" w:hAnsi="Times New Roman" w:cs="Times New Roman"/>
          <w:sz w:val="24"/>
          <w:szCs w:val="24"/>
        </w:rPr>
        <w:t>set out</w:t>
      </w:r>
      <w:r w:rsidR="00ED5D41">
        <w:rPr>
          <w:rFonts w:ascii="Times New Roman" w:hAnsi="Times New Roman" w:cs="Times New Roman"/>
          <w:sz w:val="24"/>
          <w:szCs w:val="24"/>
        </w:rPr>
        <w:t xml:space="preserve"> in </w:t>
      </w:r>
      <w:r w:rsidR="001A222E">
        <w:rPr>
          <w:rFonts w:ascii="Times New Roman" w:hAnsi="Times New Roman" w:cs="Times New Roman"/>
          <w:sz w:val="24"/>
          <w:szCs w:val="24"/>
        </w:rPr>
        <w:t xml:space="preserve">Commission Delegated Regulation (EU) 2023/1669. </w:t>
      </w:r>
      <w:r>
        <w:rPr>
          <w:rFonts w:ascii="Times New Roman" w:hAnsi="Times New Roman" w:cs="Times New Roman"/>
          <w:sz w:val="24"/>
          <w:szCs w:val="24"/>
        </w:rPr>
        <w:t xml:space="preserve">The repairability score laid down in this document follows this same approach, by adapting to household tumble dryers </w:t>
      </w:r>
      <w:r>
        <w:rPr>
          <w:rFonts w:ascii="Times New Roman" w:hAnsi="Times New Roman" w:cs="Times New Roman"/>
          <w:sz w:val="24"/>
          <w:szCs w:val="24"/>
        </w:rPr>
        <w:lastRenderedPageBreak/>
        <w:t>the general methodology laid down in the abovementioned documents</w:t>
      </w:r>
      <w:r w:rsidR="003A17F4">
        <w:rPr>
          <w:rFonts w:ascii="Times New Roman" w:hAnsi="Times New Roman" w:cs="Times New Roman"/>
          <w:sz w:val="24"/>
          <w:szCs w:val="24"/>
        </w:rPr>
        <w:t xml:space="preserve">, based on </w:t>
      </w:r>
      <w:r w:rsidR="003A17F4" w:rsidRPr="00065713">
        <w:rPr>
          <w:rFonts w:ascii="Times New Roman" w:hAnsi="Times New Roman" w:cs="Times New Roman"/>
          <w:b/>
          <w:bCs/>
          <w:sz w:val="24"/>
          <w:szCs w:val="24"/>
        </w:rPr>
        <w:t xml:space="preserve">three </w:t>
      </w:r>
      <w:r w:rsidR="003A17F4">
        <w:rPr>
          <w:rFonts w:ascii="Times New Roman" w:hAnsi="Times New Roman" w:cs="Times New Roman"/>
          <w:b/>
          <w:bCs/>
          <w:sz w:val="24"/>
          <w:szCs w:val="24"/>
        </w:rPr>
        <w:t xml:space="preserve">main </w:t>
      </w:r>
      <w:r w:rsidR="003A17F4" w:rsidRPr="00065713">
        <w:rPr>
          <w:rFonts w:ascii="Times New Roman" w:hAnsi="Times New Roman" w:cs="Times New Roman"/>
          <w:b/>
          <w:bCs/>
          <w:sz w:val="24"/>
          <w:szCs w:val="24"/>
        </w:rPr>
        <w:t>elements</w:t>
      </w:r>
      <w:r>
        <w:rPr>
          <w:rFonts w:ascii="Times New Roman" w:hAnsi="Times New Roman" w:cs="Times New Roman"/>
          <w:sz w:val="24"/>
          <w:szCs w:val="24"/>
        </w:rPr>
        <w:t xml:space="preserve">. </w:t>
      </w:r>
    </w:p>
    <w:p w14:paraId="6CE9D871" w14:textId="79FA5E8B" w:rsidR="001A222E" w:rsidRDefault="001A222E" w:rsidP="001A222E">
      <w:pPr>
        <w:jc w:val="both"/>
        <w:rPr>
          <w:rFonts w:ascii="Times New Roman" w:hAnsi="Times New Roman" w:cs="Times New Roman"/>
          <w:sz w:val="24"/>
          <w:szCs w:val="24"/>
        </w:rPr>
      </w:pPr>
      <w:r>
        <w:rPr>
          <w:rFonts w:ascii="Times New Roman" w:hAnsi="Times New Roman" w:cs="Times New Roman"/>
          <w:sz w:val="24"/>
          <w:szCs w:val="24"/>
        </w:rPr>
        <w:t xml:space="preserve">The </w:t>
      </w:r>
      <w:r w:rsidRPr="00065713">
        <w:rPr>
          <w:rFonts w:ascii="Times New Roman" w:hAnsi="Times New Roman" w:cs="Times New Roman"/>
          <w:b/>
          <w:bCs/>
          <w:sz w:val="24"/>
          <w:szCs w:val="24"/>
        </w:rPr>
        <w:t>first</w:t>
      </w:r>
      <w:r>
        <w:rPr>
          <w:rFonts w:ascii="Times New Roman" w:hAnsi="Times New Roman" w:cs="Times New Roman"/>
          <w:sz w:val="24"/>
          <w:szCs w:val="24"/>
        </w:rPr>
        <w:t xml:space="preserve"> </w:t>
      </w:r>
      <w:r w:rsidRPr="00065713">
        <w:rPr>
          <w:rFonts w:ascii="Times New Roman" w:hAnsi="Times New Roman" w:cs="Times New Roman"/>
          <w:b/>
          <w:bCs/>
          <w:sz w:val="24"/>
          <w:szCs w:val="24"/>
        </w:rPr>
        <w:t>element</w:t>
      </w:r>
      <w:r>
        <w:rPr>
          <w:rFonts w:ascii="Times New Roman" w:hAnsi="Times New Roman" w:cs="Times New Roman"/>
          <w:sz w:val="24"/>
          <w:szCs w:val="24"/>
        </w:rPr>
        <w:t xml:space="preserve"> in the repa</w:t>
      </w:r>
      <w:r w:rsidR="00A65759">
        <w:rPr>
          <w:rFonts w:ascii="Times New Roman" w:hAnsi="Times New Roman" w:cs="Times New Roman"/>
          <w:sz w:val="24"/>
          <w:szCs w:val="24"/>
        </w:rPr>
        <w:t>i</w:t>
      </w:r>
      <w:r>
        <w:rPr>
          <w:rFonts w:ascii="Times New Roman" w:hAnsi="Times New Roman" w:cs="Times New Roman"/>
          <w:sz w:val="24"/>
          <w:szCs w:val="24"/>
        </w:rPr>
        <w:t xml:space="preserve">rability score is the </w:t>
      </w:r>
      <w:r w:rsidRPr="00065713">
        <w:rPr>
          <w:rFonts w:ascii="Times New Roman" w:hAnsi="Times New Roman" w:cs="Times New Roman"/>
          <w:b/>
          <w:bCs/>
          <w:sz w:val="24"/>
          <w:szCs w:val="24"/>
        </w:rPr>
        <w:t>priority parts</w:t>
      </w:r>
      <w:r>
        <w:rPr>
          <w:rFonts w:ascii="Times New Roman" w:hAnsi="Times New Roman" w:cs="Times New Roman"/>
          <w:sz w:val="24"/>
          <w:szCs w:val="24"/>
        </w:rPr>
        <w:t xml:space="preserve">, namely those parts or components which </w:t>
      </w:r>
      <w:r w:rsidR="00A65759">
        <w:rPr>
          <w:rFonts w:ascii="Times New Roman" w:hAnsi="Times New Roman" w:cs="Times New Roman"/>
          <w:sz w:val="24"/>
          <w:szCs w:val="24"/>
        </w:rPr>
        <w:t>repairability</w:t>
      </w:r>
      <w:r>
        <w:rPr>
          <w:rFonts w:ascii="Times New Roman" w:hAnsi="Times New Roman" w:cs="Times New Roman"/>
          <w:sz w:val="24"/>
          <w:szCs w:val="24"/>
        </w:rPr>
        <w:t xml:space="preserve"> will be scored. </w:t>
      </w:r>
      <w:r w:rsidR="009864FE">
        <w:rPr>
          <w:rFonts w:ascii="Times New Roman" w:hAnsi="Times New Roman" w:cs="Times New Roman"/>
          <w:sz w:val="24"/>
          <w:szCs w:val="24"/>
        </w:rPr>
        <w:t xml:space="preserve">Priority parts are to be selected for each product. </w:t>
      </w:r>
      <w:r>
        <w:rPr>
          <w:rFonts w:ascii="Times New Roman" w:hAnsi="Times New Roman" w:cs="Times New Roman"/>
          <w:sz w:val="24"/>
          <w:szCs w:val="24"/>
        </w:rPr>
        <w:t xml:space="preserve">For tumble dryers selected priority parts could be, for instance, </w:t>
      </w:r>
      <w:r w:rsidR="009864FE">
        <w:rPr>
          <w:rFonts w:ascii="Times New Roman" w:hAnsi="Times New Roman" w:cs="Times New Roman"/>
          <w:sz w:val="24"/>
          <w:szCs w:val="24"/>
        </w:rPr>
        <w:t xml:space="preserve">the </w:t>
      </w:r>
      <w:r>
        <w:rPr>
          <w:rFonts w:ascii="Times New Roman" w:hAnsi="Times New Roman" w:cs="Times New Roman"/>
          <w:sz w:val="24"/>
          <w:szCs w:val="24"/>
        </w:rPr>
        <w:t xml:space="preserve">pump, </w:t>
      </w:r>
      <w:r w:rsidR="009864FE">
        <w:rPr>
          <w:rFonts w:ascii="Times New Roman" w:hAnsi="Times New Roman" w:cs="Times New Roman"/>
          <w:sz w:val="24"/>
          <w:szCs w:val="24"/>
        </w:rPr>
        <w:t xml:space="preserve">the </w:t>
      </w:r>
      <w:r>
        <w:rPr>
          <w:rFonts w:ascii="Times New Roman" w:hAnsi="Times New Roman" w:cs="Times New Roman"/>
          <w:sz w:val="24"/>
          <w:szCs w:val="24"/>
        </w:rPr>
        <w:t xml:space="preserve">drum bearings, </w:t>
      </w:r>
      <w:r w:rsidR="009864FE">
        <w:rPr>
          <w:rFonts w:ascii="Times New Roman" w:hAnsi="Times New Roman" w:cs="Times New Roman"/>
          <w:sz w:val="24"/>
          <w:szCs w:val="24"/>
        </w:rPr>
        <w:t xml:space="preserve">the </w:t>
      </w:r>
      <w:r>
        <w:rPr>
          <w:rFonts w:ascii="Times New Roman" w:hAnsi="Times New Roman" w:cs="Times New Roman"/>
          <w:sz w:val="24"/>
          <w:szCs w:val="24"/>
        </w:rPr>
        <w:t xml:space="preserve">door, </w:t>
      </w:r>
      <w:r w:rsidR="009864FE">
        <w:rPr>
          <w:rFonts w:ascii="Times New Roman" w:hAnsi="Times New Roman" w:cs="Times New Roman"/>
          <w:sz w:val="24"/>
          <w:szCs w:val="24"/>
        </w:rPr>
        <w:t xml:space="preserve">the </w:t>
      </w:r>
      <w:r>
        <w:rPr>
          <w:rFonts w:ascii="Times New Roman" w:hAnsi="Times New Roman" w:cs="Times New Roman"/>
          <w:sz w:val="24"/>
          <w:szCs w:val="24"/>
        </w:rPr>
        <w:t>drum bel</w:t>
      </w:r>
      <w:r w:rsidR="009864FE">
        <w:rPr>
          <w:rFonts w:ascii="Times New Roman" w:hAnsi="Times New Roman" w:cs="Times New Roman"/>
          <w:sz w:val="24"/>
          <w:szCs w:val="24"/>
        </w:rPr>
        <w:t>t, or the motor</w:t>
      </w:r>
      <w:r>
        <w:rPr>
          <w:rFonts w:ascii="Times New Roman" w:hAnsi="Times New Roman" w:cs="Times New Roman"/>
          <w:sz w:val="24"/>
          <w:szCs w:val="24"/>
        </w:rPr>
        <w:t xml:space="preserve">. </w:t>
      </w:r>
    </w:p>
    <w:p w14:paraId="6221606F" w14:textId="36B5AFE3" w:rsidR="001A222E" w:rsidRDefault="001A222E" w:rsidP="001A222E">
      <w:pPr>
        <w:jc w:val="both"/>
        <w:rPr>
          <w:rFonts w:ascii="Times New Roman" w:hAnsi="Times New Roman" w:cs="Times New Roman"/>
          <w:sz w:val="24"/>
          <w:szCs w:val="24"/>
        </w:rPr>
      </w:pPr>
      <w:r>
        <w:rPr>
          <w:rFonts w:ascii="Times New Roman" w:hAnsi="Times New Roman" w:cs="Times New Roman"/>
          <w:sz w:val="24"/>
          <w:szCs w:val="24"/>
        </w:rPr>
        <w:t xml:space="preserve">The </w:t>
      </w:r>
      <w:r w:rsidRPr="007D3EE0">
        <w:rPr>
          <w:rFonts w:ascii="Times New Roman" w:hAnsi="Times New Roman" w:cs="Times New Roman"/>
          <w:b/>
          <w:bCs/>
          <w:sz w:val="24"/>
          <w:szCs w:val="24"/>
        </w:rPr>
        <w:t>second element</w:t>
      </w:r>
      <w:r>
        <w:rPr>
          <w:rFonts w:ascii="Times New Roman" w:hAnsi="Times New Roman" w:cs="Times New Roman"/>
          <w:sz w:val="24"/>
          <w:szCs w:val="24"/>
        </w:rPr>
        <w:t xml:space="preserve"> is the </w:t>
      </w:r>
      <w:r w:rsidRPr="007D3EE0">
        <w:rPr>
          <w:rFonts w:ascii="Times New Roman" w:hAnsi="Times New Roman" w:cs="Times New Roman"/>
          <w:b/>
          <w:bCs/>
          <w:sz w:val="24"/>
          <w:szCs w:val="24"/>
        </w:rPr>
        <w:t>scoring parameters</w:t>
      </w:r>
      <w:r>
        <w:rPr>
          <w:rFonts w:ascii="Times New Roman" w:hAnsi="Times New Roman" w:cs="Times New Roman"/>
          <w:sz w:val="24"/>
          <w:szCs w:val="24"/>
        </w:rPr>
        <w:t xml:space="preserve">. Typical scoring parameters are the </w:t>
      </w:r>
      <w:r w:rsidRPr="007D3EE0">
        <w:rPr>
          <w:rFonts w:ascii="Times New Roman" w:hAnsi="Times New Roman" w:cs="Times New Roman"/>
          <w:b/>
          <w:bCs/>
          <w:sz w:val="24"/>
          <w:szCs w:val="24"/>
        </w:rPr>
        <w:t>disassembly depth</w:t>
      </w:r>
      <w:r>
        <w:rPr>
          <w:rFonts w:ascii="Times New Roman" w:hAnsi="Times New Roman" w:cs="Times New Roman"/>
          <w:sz w:val="24"/>
          <w:szCs w:val="24"/>
        </w:rPr>
        <w:t xml:space="preserve">, the </w:t>
      </w:r>
      <w:r w:rsidRPr="007D3EE0">
        <w:rPr>
          <w:rFonts w:ascii="Times New Roman" w:hAnsi="Times New Roman" w:cs="Times New Roman"/>
          <w:b/>
          <w:bCs/>
          <w:sz w:val="24"/>
          <w:szCs w:val="24"/>
        </w:rPr>
        <w:t>fasteners type</w:t>
      </w:r>
      <w:r>
        <w:rPr>
          <w:rFonts w:ascii="Times New Roman" w:hAnsi="Times New Roman" w:cs="Times New Roman"/>
          <w:sz w:val="24"/>
          <w:szCs w:val="24"/>
        </w:rPr>
        <w:t xml:space="preserve"> or the </w:t>
      </w:r>
      <w:r w:rsidRPr="007D3EE0">
        <w:rPr>
          <w:rFonts w:ascii="Times New Roman" w:hAnsi="Times New Roman" w:cs="Times New Roman"/>
          <w:b/>
          <w:bCs/>
          <w:sz w:val="24"/>
          <w:szCs w:val="24"/>
        </w:rPr>
        <w:t>tools type</w:t>
      </w:r>
      <w:r w:rsidR="004778C7" w:rsidRPr="004778C7">
        <w:rPr>
          <w:rFonts w:ascii="Times New Roman" w:hAnsi="Times New Roman" w:cs="Times New Roman"/>
          <w:sz w:val="24"/>
          <w:szCs w:val="24"/>
        </w:rPr>
        <w:t>. These</w:t>
      </w:r>
      <w:r w:rsidR="00A65759">
        <w:rPr>
          <w:rFonts w:ascii="Times New Roman" w:hAnsi="Times New Roman" w:cs="Times New Roman"/>
          <w:sz w:val="24"/>
          <w:szCs w:val="24"/>
        </w:rPr>
        <w:t xml:space="preserve"> are</w:t>
      </w:r>
      <w:r>
        <w:rPr>
          <w:rFonts w:ascii="Times New Roman" w:hAnsi="Times New Roman" w:cs="Times New Roman"/>
          <w:sz w:val="24"/>
          <w:szCs w:val="24"/>
        </w:rPr>
        <w:t xml:space="preserve"> general and suitable to most of the products placed on the market</w:t>
      </w:r>
      <w:r w:rsidR="00A65759">
        <w:rPr>
          <w:rFonts w:ascii="Times New Roman" w:hAnsi="Times New Roman" w:cs="Times New Roman"/>
          <w:sz w:val="24"/>
          <w:szCs w:val="24"/>
        </w:rPr>
        <w:t>, but t</w:t>
      </w:r>
      <w:r>
        <w:rPr>
          <w:rFonts w:ascii="Times New Roman" w:hAnsi="Times New Roman" w:cs="Times New Roman"/>
          <w:sz w:val="24"/>
          <w:szCs w:val="24"/>
        </w:rPr>
        <w:t xml:space="preserve">here can also be </w:t>
      </w:r>
      <w:r w:rsidRPr="007D3EE0">
        <w:rPr>
          <w:rFonts w:ascii="Times New Roman" w:hAnsi="Times New Roman" w:cs="Times New Roman"/>
          <w:b/>
          <w:bCs/>
          <w:sz w:val="24"/>
          <w:szCs w:val="24"/>
        </w:rPr>
        <w:t>parameters that only suit specific products</w:t>
      </w:r>
      <w:r>
        <w:rPr>
          <w:rFonts w:ascii="Times New Roman" w:hAnsi="Times New Roman" w:cs="Times New Roman"/>
          <w:sz w:val="24"/>
          <w:szCs w:val="24"/>
        </w:rPr>
        <w:t xml:space="preserve">. </w:t>
      </w:r>
      <w:r w:rsidR="009B72C0">
        <w:rPr>
          <w:rFonts w:ascii="Times New Roman" w:hAnsi="Times New Roman" w:cs="Times New Roman"/>
          <w:sz w:val="24"/>
          <w:szCs w:val="24"/>
        </w:rPr>
        <w:t>For example, t</w:t>
      </w:r>
      <w:r>
        <w:rPr>
          <w:rFonts w:ascii="Times New Roman" w:hAnsi="Times New Roman" w:cs="Times New Roman"/>
          <w:sz w:val="24"/>
          <w:szCs w:val="24"/>
        </w:rPr>
        <w:t xml:space="preserve">he detachability of the side panels would be appropriate for tumble dryers or washing machines, but not for smartphones. In addition, some scoring parameters are addressed at priority part level and others at product level. The score for disassembly depth, fasteners type, or tools type </w:t>
      </w:r>
      <w:r w:rsidR="009B72C0">
        <w:rPr>
          <w:rFonts w:ascii="Times New Roman" w:hAnsi="Times New Roman" w:cs="Times New Roman"/>
          <w:sz w:val="24"/>
          <w:szCs w:val="24"/>
        </w:rPr>
        <w:t>consists of</w:t>
      </w:r>
      <w:r>
        <w:rPr>
          <w:rFonts w:ascii="Times New Roman" w:hAnsi="Times New Roman" w:cs="Times New Roman"/>
          <w:sz w:val="24"/>
          <w:szCs w:val="24"/>
        </w:rPr>
        <w:t xml:space="preserve"> </w:t>
      </w:r>
      <w:r w:rsidR="009B72C0">
        <w:rPr>
          <w:rFonts w:ascii="Times New Roman" w:hAnsi="Times New Roman" w:cs="Times New Roman"/>
          <w:sz w:val="24"/>
          <w:szCs w:val="24"/>
        </w:rPr>
        <w:t xml:space="preserve">adding </w:t>
      </w:r>
      <w:r>
        <w:rPr>
          <w:rFonts w:ascii="Times New Roman" w:hAnsi="Times New Roman" w:cs="Times New Roman"/>
          <w:sz w:val="24"/>
          <w:szCs w:val="24"/>
        </w:rPr>
        <w:t xml:space="preserve">partial scores for each priority part. </w:t>
      </w:r>
      <w:r w:rsidR="009B72C0">
        <w:rPr>
          <w:rFonts w:ascii="Times New Roman" w:hAnsi="Times New Roman" w:cs="Times New Roman"/>
          <w:sz w:val="24"/>
          <w:szCs w:val="24"/>
        </w:rPr>
        <w:t>T</w:t>
      </w:r>
      <w:r>
        <w:rPr>
          <w:rFonts w:ascii="Times New Roman" w:hAnsi="Times New Roman" w:cs="Times New Roman"/>
          <w:sz w:val="24"/>
          <w:szCs w:val="24"/>
        </w:rPr>
        <w:t xml:space="preserve">he detachability of the side panels, </w:t>
      </w:r>
      <w:r w:rsidR="009B72C0">
        <w:rPr>
          <w:rFonts w:ascii="Times New Roman" w:hAnsi="Times New Roman" w:cs="Times New Roman"/>
          <w:sz w:val="24"/>
          <w:szCs w:val="24"/>
        </w:rPr>
        <w:t>on the contrary, consists of a single score to</w:t>
      </w:r>
      <w:r>
        <w:rPr>
          <w:rFonts w:ascii="Times New Roman" w:hAnsi="Times New Roman" w:cs="Times New Roman"/>
          <w:sz w:val="24"/>
          <w:szCs w:val="24"/>
        </w:rPr>
        <w:t xml:space="preserve"> the whole product. </w:t>
      </w:r>
    </w:p>
    <w:p w14:paraId="357D660E" w14:textId="7C874E9F" w:rsidR="001A222E" w:rsidRDefault="00BF5F9F" w:rsidP="009D7277">
      <w:pPr>
        <w:spacing w:after="240"/>
        <w:jc w:val="both"/>
        <w:rPr>
          <w:rFonts w:ascii="Times New Roman" w:hAnsi="Times New Roman" w:cs="Times New Roman"/>
          <w:sz w:val="24"/>
          <w:szCs w:val="24"/>
        </w:rPr>
      </w:pPr>
      <w:r>
        <w:rPr>
          <w:rFonts w:ascii="Times New Roman" w:hAnsi="Times New Roman" w:cs="Times New Roman"/>
          <w:sz w:val="24"/>
          <w:szCs w:val="24"/>
        </w:rPr>
        <w:t xml:space="preserve">With the first two elements it is already possible to write the </w:t>
      </w:r>
      <w:r w:rsidR="009B72C0">
        <w:rPr>
          <w:rFonts w:ascii="Times New Roman" w:hAnsi="Times New Roman" w:cs="Times New Roman"/>
          <w:sz w:val="24"/>
          <w:szCs w:val="24"/>
        </w:rPr>
        <w:t xml:space="preserve">general </w:t>
      </w:r>
      <w:r>
        <w:rPr>
          <w:rFonts w:ascii="Times New Roman" w:hAnsi="Times New Roman" w:cs="Times New Roman"/>
          <w:sz w:val="24"/>
          <w:szCs w:val="24"/>
        </w:rPr>
        <w:t>formula for the</w:t>
      </w:r>
      <w:r w:rsidR="001A222E">
        <w:rPr>
          <w:rFonts w:ascii="Times New Roman" w:hAnsi="Times New Roman" w:cs="Times New Roman"/>
          <w:sz w:val="24"/>
          <w:szCs w:val="24"/>
        </w:rPr>
        <w:t xml:space="preserve"> </w:t>
      </w:r>
      <w:r w:rsidR="00A65759">
        <w:rPr>
          <w:rFonts w:ascii="Times New Roman" w:hAnsi="Times New Roman" w:cs="Times New Roman"/>
          <w:sz w:val="24"/>
          <w:szCs w:val="24"/>
        </w:rPr>
        <w:t>repairability</w:t>
      </w:r>
      <w:r w:rsidR="001A222E">
        <w:rPr>
          <w:rFonts w:ascii="Times New Roman" w:hAnsi="Times New Roman" w:cs="Times New Roman"/>
          <w:sz w:val="24"/>
          <w:szCs w:val="24"/>
        </w:rPr>
        <w:t xml:space="preserve"> score</w:t>
      </w:r>
      <w:r>
        <w:rPr>
          <w:rFonts w:ascii="Times New Roman" w:hAnsi="Times New Roman" w:cs="Times New Roman"/>
          <w:sz w:val="24"/>
          <w:szCs w:val="24"/>
        </w:rPr>
        <w:t>, which follows the format</w:t>
      </w:r>
      <w:r w:rsidR="001A222E">
        <w:rPr>
          <w:rFonts w:ascii="Times New Roman" w:hAnsi="Times New Roman" w:cs="Times New Roman"/>
          <w:sz w:val="24"/>
          <w:szCs w:val="24"/>
        </w:rPr>
        <w:t xml:space="preserve">: </w:t>
      </w:r>
    </w:p>
    <w:p w14:paraId="26C0F7DC" w14:textId="0A270BA7" w:rsidR="001A222E" w:rsidRPr="0077326D" w:rsidRDefault="001A222E" w:rsidP="001A222E">
      <w:pPr>
        <w:pStyle w:val="Text2"/>
        <w:ind w:left="850"/>
      </w:pPr>
      <m:oMath>
        <m:r>
          <w:rPr>
            <w:rFonts w:ascii="Cambria Math" w:hAnsi="Cambria Math"/>
          </w:rPr>
          <m:t>R=</m:t>
        </m:r>
        <m:sSub>
          <m:sSubPr>
            <m:ctrlPr>
              <w:rPr>
                <w:rFonts w:ascii="Cambria Math" w:hAnsi="Cambria Math"/>
                <w:szCs w:val="24"/>
              </w:rPr>
            </m:ctrlPr>
          </m:sSubPr>
          <m:e>
            <m:r>
              <m:rPr>
                <m:sty m:val="p"/>
              </m:rPr>
              <w:rPr>
                <w:rFonts w:ascii="Cambria Math" w:hAnsi="Cambria Math"/>
                <w:szCs w:val="24"/>
              </w:rPr>
              <m:t>α</m:t>
            </m:r>
          </m:e>
          <m:sub>
            <m:r>
              <w:rPr>
                <w:rFonts w:ascii="Cambria Math" w:hAnsi="Cambria Math"/>
                <w:szCs w:val="24"/>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szCs w:val="24"/>
              </w:rPr>
            </m:ctrlPr>
          </m:sSubPr>
          <m:e>
            <m:r>
              <m:rPr>
                <m:sty m:val="p"/>
              </m:rPr>
              <w:rPr>
                <w:rFonts w:ascii="Cambria Math" w:hAnsi="Cambria Math"/>
                <w:szCs w:val="24"/>
              </w:rPr>
              <m:t>α</m:t>
            </m:r>
          </m:e>
          <m:sub>
            <m:r>
              <w:rPr>
                <w:rFonts w:ascii="Cambria Math" w:hAnsi="Cambria Math"/>
                <w:szCs w:val="24"/>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szCs w:val="24"/>
              </w:rPr>
            </m:ctrlPr>
          </m:sSubPr>
          <m:e>
            <m:r>
              <m:rPr>
                <m:sty m:val="p"/>
              </m:rPr>
              <w:rPr>
                <w:rFonts w:ascii="Cambria Math" w:hAnsi="Cambria Math"/>
                <w:szCs w:val="24"/>
              </w:rPr>
              <m:t>α</m:t>
            </m:r>
          </m:e>
          <m:sub>
            <m:r>
              <w:rPr>
                <w:rFonts w:ascii="Cambria Math" w:hAnsi="Cambria Math"/>
                <w:szCs w:val="24"/>
              </w:rPr>
              <m:t>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eastAsiaTheme="minorEastAsia" w:hAnsi="Cambria Math"/>
          </w:rPr>
          <m:t>+…+</m:t>
        </m:r>
        <m:sSub>
          <m:sSubPr>
            <m:ctrlPr>
              <w:rPr>
                <w:rFonts w:ascii="Cambria Math" w:hAnsi="Cambria Math"/>
                <w:szCs w:val="24"/>
              </w:rPr>
            </m:ctrlPr>
          </m:sSubPr>
          <m:e>
            <m:r>
              <m:rPr>
                <m:sty m:val="p"/>
              </m:rPr>
              <w:rPr>
                <w:rFonts w:ascii="Cambria Math" w:hAnsi="Cambria Math"/>
                <w:szCs w:val="24"/>
              </w:rPr>
              <m:t>α</m:t>
            </m:r>
          </m:e>
          <m:sub>
            <m:r>
              <w:rPr>
                <w:rFonts w:ascii="Cambria Math" w:hAnsi="Cambria Math"/>
                <w:szCs w:val="24"/>
              </w:rPr>
              <m:t>n</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oMath>
      <w:r w:rsidR="00992F4E">
        <w:rPr>
          <w:rFonts w:eastAsiaTheme="minorEastAsia"/>
        </w:rPr>
        <w:t xml:space="preserve"> (1)</w:t>
      </w:r>
    </w:p>
    <w:p w14:paraId="53F1856B" w14:textId="35E3F7D9" w:rsidR="001A222E" w:rsidRDefault="00BF5F9F" w:rsidP="00B50E6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w</w:t>
      </w:r>
      <w:r w:rsidR="001A222E">
        <w:rPr>
          <w:rFonts w:ascii="Times New Roman" w:hAnsi="Times New Roman" w:cs="Times New Roman"/>
          <w:sz w:val="24"/>
          <w:szCs w:val="24"/>
        </w:rPr>
        <w:t xml:space="preserve">here </w:t>
      </w:r>
      <w:r w:rsidR="001A222E" w:rsidRPr="00573C2B">
        <w:rPr>
          <w:rFonts w:ascii="Times New Roman" w:hAnsi="Times New Roman" w:cs="Times New Roman"/>
          <w:i/>
          <w:iCs/>
          <w:sz w:val="24"/>
          <w:szCs w:val="24"/>
        </w:rPr>
        <w:t>S</w:t>
      </w:r>
      <w:r w:rsidR="001A222E" w:rsidRPr="00573C2B">
        <w:rPr>
          <w:rFonts w:ascii="Times New Roman" w:hAnsi="Times New Roman" w:cs="Times New Roman"/>
          <w:i/>
          <w:iCs/>
          <w:sz w:val="24"/>
          <w:szCs w:val="24"/>
          <w:vertAlign w:val="subscript"/>
        </w:rPr>
        <w:t>n</w:t>
      </w:r>
      <w:r w:rsidR="001A222E">
        <w:rPr>
          <w:rFonts w:ascii="Times New Roman" w:hAnsi="Times New Roman" w:cs="Times New Roman"/>
          <w:sz w:val="24"/>
          <w:szCs w:val="24"/>
        </w:rPr>
        <w:t xml:space="preserve"> </w:t>
      </w:r>
      <w:r w:rsidR="00FC47D6">
        <w:rPr>
          <w:rFonts w:ascii="Times New Roman" w:hAnsi="Times New Roman" w:cs="Times New Roman"/>
          <w:sz w:val="24"/>
          <w:szCs w:val="24"/>
        </w:rPr>
        <w:t xml:space="preserve">is the score for the </w:t>
      </w:r>
      <w:r w:rsidR="001A222E">
        <w:rPr>
          <w:rFonts w:ascii="Times New Roman" w:hAnsi="Times New Roman" w:cs="Times New Roman"/>
          <w:sz w:val="24"/>
          <w:szCs w:val="24"/>
        </w:rPr>
        <w:t>scoring parameter</w:t>
      </w:r>
      <w:r w:rsidR="00FC47D6">
        <w:rPr>
          <w:rFonts w:ascii="Times New Roman" w:hAnsi="Times New Roman" w:cs="Times New Roman"/>
          <w:sz w:val="24"/>
          <w:szCs w:val="24"/>
        </w:rPr>
        <w:t xml:space="preserve"> </w:t>
      </w:r>
      <w:r w:rsidR="00FC47D6" w:rsidRPr="00FC47D6">
        <w:rPr>
          <w:rFonts w:ascii="Times New Roman" w:hAnsi="Times New Roman" w:cs="Times New Roman"/>
          <w:i/>
          <w:iCs/>
          <w:sz w:val="24"/>
          <w:szCs w:val="24"/>
        </w:rPr>
        <w:t>n</w:t>
      </w:r>
      <w:r w:rsidR="00B50E67">
        <w:rPr>
          <w:rFonts w:ascii="Times New Roman" w:hAnsi="Times New Roman" w:cs="Times New Roman"/>
          <w:sz w:val="24"/>
          <w:szCs w:val="24"/>
        </w:rPr>
        <w:t xml:space="preserve"> and </w:t>
      </w:r>
      <w:r w:rsidR="00B50E67" w:rsidRPr="00573C2B">
        <w:rPr>
          <w:rFonts w:ascii="Times New Roman" w:hAnsi="Times New Roman" w:cs="Times New Roman"/>
          <w:i/>
          <w:iCs/>
          <w:sz w:val="24"/>
          <w:szCs w:val="24"/>
        </w:rPr>
        <w:t>α</w:t>
      </w:r>
      <w:r w:rsidR="00B50E67" w:rsidRPr="00573C2B">
        <w:rPr>
          <w:rFonts w:ascii="Times New Roman" w:hAnsi="Times New Roman" w:cs="Times New Roman"/>
          <w:i/>
          <w:iCs/>
          <w:sz w:val="24"/>
          <w:szCs w:val="24"/>
          <w:vertAlign w:val="subscript"/>
        </w:rPr>
        <w:t>n</w:t>
      </w:r>
      <w:r w:rsidR="00B50E67">
        <w:rPr>
          <w:rFonts w:ascii="Times New Roman" w:hAnsi="Times New Roman" w:cs="Times New Roman"/>
          <w:sz w:val="24"/>
          <w:szCs w:val="24"/>
        </w:rPr>
        <w:t xml:space="preserve"> </w:t>
      </w:r>
      <w:r w:rsidR="00B50E67" w:rsidRPr="007D3EE0">
        <w:rPr>
          <w:rFonts w:ascii="Times New Roman" w:hAnsi="Times New Roman" w:cs="Times New Roman"/>
          <w:b/>
          <w:bCs/>
          <w:sz w:val="24"/>
          <w:szCs w:val="24"/>
        </w:rPr>
        <w:t>weighting factors</w:t>
      </w:r>
      <w:r w:rsidR="00B50E67">
        <w:rPr>
          <w:rFonts w:ascii="Times New Roman" w:hAnsi="Times New Roman" w:cs="Times New Roman"/>
          <w:sz w:val="24"/>
          <w:szCs w:val="24"/>
        </w:rPr>
        <w:t xml:space="preserve"> which value depends on the relevance assigned to the parameter </w:t>
      </w:r>
      <w:r w:rsidR="00B50E67" w:rsidRPr="00567BDF">
        <w:rPr>
          <w:rFonts w:ascii="Times New Roman" w:hAnsi="Times New Roman" w:cs="Times New Roman"/>
          <w:i/>
          <w:iCs/>
          <w:sz w:val="24"/>
          <w:szCs w:val="24"/>
        </w:rPr>
        <w:t>n</w:t>
      </w:r>
      <w:r w:rsidR="00B50E67">
        <w:rPr>
          <w:rFonts w:ascii="Times New Roman" w:hAnsi="Times New Roman" w:cs="Times New Roman"/>
          <w:i/>
          <w:iCs/>
          <w:sz w:val="24"/>
          <w:szCs w:val="24"/>
        </w:rPr>
        <w:t>.</w:t>
      </w:r>
      <w:r w:rsidR="001A222E" w:rsidRPr="00B50E67">
        <w:rPr>
          <w:rFonts w:ascii="Times New Roman" w:hAnsi="Times New Roman" w:cs="Times New Roman"/>
          <w:i/>
          <w:iCs/>
          <w:sz w:val="24"/>
          <w:szCs w:val="24"/>
        </w:rPr>
        <w:t xml:space="preserve"> </w:t>
      </w:r>
      <w:r w:rsidR="00B50E67">
        <w:rPr>
          <w:rFonts w:ascii="Times New Roman" w:hAnsi="Times New Roman" w:cs="Times New Roman"/>
          <w:sz w:val="24"/>
          <w:szCs w:val="24"/>
        </w:rPr>
        <w:t>W</w:t>
      </w:r>
      <w:r w:rsidR="001A222E">
        <w:rPr>
          <w:rFonts w:ascii="Times New Roman" w:hAnsi="Times New Roman" w:cs="Times New Roman"/>
          <w:sz w:val="24"/>
          <w:szCs w:val="24"/>
        </w:rPr>
        <w:t xml:space="preserve">eighting factors </w:t>
      </w:r>
      <w:r w:rsidR="00B50E67">
        <w:rPr>
          <w:rFonts w:ascii="Times New Roman" w:hAnsi="Times New Roman" w:cs="Times New Roman"/>
          <w:sz w:val="24"/>
          <w:szCs w:val="24"/>
        </w:rPr>
        <w:t xml:space="preserve">added must </w:t>
      </w:r>
      <w:r w:rsidR="009D7277">
        <w:rPr>
          <w:rFonts w:ascii="Times New Roman" w:hAnsi="Times New Roman" w:cs="Times New Roman"/>
          <w:sz w:val="24"/>
          <w:szCs w:val="24"/>
        </w:rPr>
        <w:t>sum</w:t>
      </w:r>
      <w:r w:rsidR="001A222E">
        <w:rPr>
          <w:rFonts w:ascii="Times New Roman" w:hAnsi="Times New Roman" w:cs="Times New Roman"/>
          <w:sz w:val="24"/>
          <w:szCs w:val="24"/>
        </w:rPr>
        <w:t xml:space="preserve"> </w:t>
      </w:r>
      <w:r w:rsidR="009D7277">
        <w:rPr>
          <w:rFonts w:ascii="Times New Roman" w:hAnsi="Times New Roman" w:cs="Times New Roman"/>
          <w:sz w:val="24"/>
          <w:szCs w:val="24"/>
        </w:rPr>
        <w:t xml:space="preserve">up </w:t>
      </w:r>
      <w:r w:rsidR="001A222E">
        <w:rPr>
          <w:rFonts w:ascii="Times New Roman" w:hAnsi="Times New Roman" w:cs="Times New Roman"/>
          <w:sz w:val="24"/>
          <w:szCs w:val="24"/>
        </w:rPr>
        <w:t xml:space="preserve">1. </w:t>
      </w:r>
      <w:r w:rsidR="00B50E67">
        <w:rPr>
          <w:rFonts w:ascii="Times New Roman" w:hAnsi="Times New Roman" w:cs="Times New Roman"/>
          <w:sz w:val="24"/>
          <w:szCs w:val="24"/>
        </w:rPr>
        <w:t xml:space="preserve">It is </w:t>
      </w:r>
      <w:r w:rsidR="009D7277">
        <w:rPr>
          <w:rFonts w:ascii="Times New Roman" w:hAnsi="Times New Roman" w:cs="Times New Roman"/>
          <w:sz w:val="24"/>
          <w:szCs w:val="24"/>
        </w:rPr>
        <w:t xml:space="preserve">possible to assign the </w:t>
      </w:r>
      <w:r w:rsidR="001A222E">
        <w:rPr>
          <w:rFonts w:ascii="Times New Roman" w:hAnsi="Times New Roman" w:cs="Times New Roman"/>
          <w:sz w:val="24"/>
          <w:szCs w:val="24"/>
        </w:rPr>
        <w:t>same weighting factor</w:t>
      </w:r>
      <w:r w:rsidR="009D7277">
        <w:rPr>
          <w:rFonts w:ascii="Times New Roman" w:hAnsi="Times New Roman" w:cs="Times New Roman"/>
          <w:sz w:val="24"/>
          <w:szCs w:val="24"/>
        </w:rPr>
        <w:t xml:space="preserve"> to all parameters since</w:t>
      </w:r>
      <w:r w:rsidR="00B50E67">
        <w:rPr>
          <w:rFonts w:ascii="Times New Roman" w:hAnsi="Times New Roman" w:cs="Times New Roman"/>
          <w:sz w:val="24"/>
          <w:szCs w:val="24"/>
        </w:rPr>
        <w:t xml:space="preserve"> all may be </w:t>
      </w:r>
      <w:r w:rsidR="009D7277">
        <w:rPr>
          <w:rFonts w:ascii="Times New Roman" w:hAnsi="Times New Roman" w:cs="Times New Roman"/>
          <w:sz w:val="24"/>
          <w:szCs w:val="24"/>
        </w:rPr>
        <w:t xml:space="preserve">considered </w:t>
      </w:r>
      <w:r w:rsidR="00B50E67">
        <w:rPr>
          <w:rFonts w:ascii="Times New Roman" w:hAnsi="Times New Roman" w:cs="Times New Roman"/>
          <w:sz w:val="24"/>
          <w:szCs w:val="24"/>
        </w:rPr>
        <w:t>equally important</w:t>
      </w:r>
      <w:r w:rsidR="001A222E">
        <w:rPr>
          <w:rFonts w:ascii="Times New Roman" w:hAnsi="Times New Roman" w:cs="Times New Roman"/>
          <w:sz w:val="24"/>
          <w:szCs w:val="24"/>
        </w:rPr>
        <w:t xml:space="preserve">. However, </w:t>
      </w:r>
      <w:r w:rsidR="001A222E" w:rsidRPr="00024FE8">
        <w:rPr>
          <w:rFonts w:ascii="Times New Roman" w:hAnsi="Times New Roman" w:cs="Times New Roman"/>
          <w:sz w:val="24"/>
          <w:szCs w:val="24"/>
        </w:rPr>
        <w:t xml:space="preserve">the </w:t>
      </w:r>
      <w:r w:rsidR="009D7277">
        <w:rPr>
          <w:rFonts w:ascii="Times New Roman" w:hAnsi="Times New Roman" w:cs="Times New Roman"/>
          <w:sz w:val="24"/>
          <w:szCs w:val="24"/>
        </w:rPr>
        <w:t>JRC report suggests giving lower weights to parameters already covered by ecodesign</w:t>
      </w:r>
      <w:r w:rsidR="001A222E" w:rsidRPr="00024FE8">
        <w:rPr>
          <w:rFonts w:ascii="Times New Roman" w:hAnsi="Times New Roman" w:cs="Times New Roman"/>
          <w:sz w:val="24"/>
          <w:szCs w:val="24"/>
        </w:rPr>
        <w:t>.</w:t>
      </w:r>
      <w:r w:rsidR="001A222E">
        <w:rPr>
          <w:rFonts w:ascii="Times New Roman" w:hAnsi="Times New Roman" w:cs="Times New Roman"/>
          <w:sz w:val="24"/>
          <w:szCs w:val="24"/>
        </w:rPr>
        <w:t xml:space="preserve"> </w:t>
      </w:r>
      <w:r w:rsidR="00D16680">
        <w:rPr>
          <w:rFonts w:ascii="Times New Roman" w:hAnsi="Times New Roman" w:cs="Times New Roman"/>
          <w:sz w:val="24"/>
          <w:szCs w:val="24"/>
        </w:rPr>
        <w:t xml:space="preserve">For </w:t>
      </w:r>
      <w:r w:rsidR="009B72C0">
        <w:rPr>
          <w:rFonts w:ascii="Times New Roman" w:hAnsi="Times New Roman" w:cs="Times New Roman"/>
          <w:sz w:val="24"/>
          <w:szCs w:val="24"/>
        </w:rPr>
        <w:t>example</w:t>
      </w:r>
      <w:r w:rsidR="001A222E">
        <w:rPr>
          <w:rFonts w:ascii="Times New Roman" w:hAnsi="Times New Roman" w:cs="Times New Roman"/>
          <w:sz w:val="24"/>
          <w:szCs w:val="24"/>
        </w:rPr>
        <w:t xml:space="preserve">, </w:t>
      </w:r>
      <w:r w:rsidR="00D16680">
        <w:rPr>
          <w:rFonts w:ascii="Times New Roman" w:hAnsi="Times New Roman" w:cs="Times New Roman"/>
          <w:sz w:val="24"/>
          <w:szCs w:val="24"/>
        </w:rPr>
        <w:t>a</w:t>
      </w:r>
      <w:r w:rsidR="001A222E">
        <w:rPr>
          <w:rFonts w:ascii="Times New Roman" w:hAnsi="Times New Roman" w:cs="Times New Roman"/>
          <w:sz w:val="24"/>
          <w:szCs w:val="24"/>
        </w:rPr>
        <w:t xml:space="preserve"> scoring parameter </w:t>
      </w:r>
      <w:r w:rsidR="00D16680">
        <w:rPr>
          <w:rFonts w:ascii="Times New Roman" w:hAnsi="Times New Roman" w:cs="Times New Roman"/>
          <w:sz w:val="24"/>
          <w:szCs w:val="24"/>
        </w:rPr>
        <w:t>related to the availability of spare parts</w:t>
      </w:r>
      <w:r w:rsidR="001A222E">
        <w:rPr>
          <w:rFonts w:ascii="Times New Roman" w:hAnsi="Times New Roman" w:cs="Times New Roman"/>
          <w:sz w:val="24"/>
          <w:szCs w:val="24"/>
        </w:rPr>
        <w:t xml:space="preserve"> could </w:t>
      </w:r>
      <w:r w:rsidR="00D16680">
        <w:rPr>
          <w:rFonts w:ascii="Times New Roman" w:hAnsi="Times New Roman" w:cs="Times New Roman"/>
          <w:sz w:val="24"/>
          <w:szCs w:val="24"/>
        </w:rPr>
        <w:t>be assigned</w:t>
      </w:r>
      <w:r w:rsidR="001A222E">
        <w:rPr>
          <w:rFonts w:ascii="Times New Roman" w:hAnsi="Times New Roman" w:cs="Times New Roman"/>
          <w:sz w:val="24"/>
          <w:szCs w:val="24"/>
        </w:rPr>
        <w:t xml:space="preserve">, for tumble dryers </w:t>
      </w:r>
      <w:r w:rsidR="00D16680">
        <w:rPr>
          <w:rFonts w:ascii="Times New Roman" w:hAnsi="Times New Roman" w:cs="Times New Roman"/>
          <w:sz w:val="24"/>
          <w:szCs w:val="24"/>
        </w:rPr>
        <w:t>and</w:t>
      </w:r>
      <w:r w:rsidR="001A222E">
        <w:rPr>
          <w:rFonts w:ascii="Times New Roman" w:hAnsi="Times New Roman" w:cs="Times New Roman"/>
          <w:sz w:val="24"/>
          <w:szCs w:val="24"/>
        </w:rPr>
        <w:t xml:space="preserve"> washing machines, a smaller weighting factor</w:t>
      </w:r>
      <w:r w:rsidR="00D16680">
        <w:rPr>
          <w:rFonts w:ascii="Times New Roman" w:hAnsi="Times New Roman" w:cs="Times New Roman"/>
          <w:sz w:val="24"/>
          <w:szCs w:val="24"/>
        </w:rPr>
        <w:t>,</w:t>
      </w:r>
      <w:r w:rsidR="001A222E">
        <w:rPr>
          <w:rFonts w:ascii="Times New Roman" w:hAnsi="Times New Roman" w:cs="Times New Roman"/>
          <w:sz w:val="24"/>
          <w:szCs w:val="24"/>
        </w:rPr>
        <w:t xml:space="preserve"> because their respective Regulations on ecodesign, already contain a provision on the mandatory availability of spare parts. </w:t>
      </w:r>
    </w:p>
    <w:p w14:paraId="7398332F" w14:textId="49356884" w:rsidR="001A222E" w:rsidRDefault="00D16680" w:rsidP="001A222E">
      <w:pPr>
        <w:jc w:val="both"/>
        <w:rPr>
          <w:rFonts w:ascii="Times New Roman" w:hAnsi="Times New Roman" w:cs="Times New Roman"/>
          <w:sz w:val="24"/>
          <w:szCs w:val="24"/>
        </w:rPr>
      </w:pPr>
      <w:r>
        <w:rPr>
          <w:rFonts w:ascii="Times New Roman" w:hAnsi="Times New Roman" w:cs="Times New Roman"/>
          <w:sz w:val="24"/>
          <w:szCs w:val="24"/>
        </w:rPr>
        <w:t xml:space="preserve">When </w:t>
      </w:r>
      <w:r w:rsidR="001A222E">
        <w:rPr>
          <w:rFonts w:ascii="Times New Roman" w:hAnsi="Times New Roman" w:cs="Times New Roman"/>
          <w:sz w:val="24"/>
          <w:szCs w:val="24"/>
        </w:rPr>
        <w:t xml:space="preserve">the score </w:t>
      </w:r>
      <w:r>
        <w:rPr>
          <w:rFonts w:ascii="Times New Roman" w:hAnsi="Times New Roman" w:cs="Times New Roman"/>
          <w:sz w:val="24"/>
          <w:szCs w:val="24"/>
        </w:rPr>
        <w:t xml:space="preserve">for a </w:t>
      </w:r>
      <w:r w:rsidR="001A222E">
        <w:rPr>
          <w:rFonts w:ascii="Times New Roman" w:hAnsi="Times New Roman" w:cs="Times New Roman"/>
          <w:sz w:val="24"/>
          <w:szCs w:val="24"/>
        </w:rPr>
        <w:t xml:space="preserve">parameter </w:t>
      </w:r>
      <w:r w:rsidR="009B72C0">
        <w:rPr>
          <w:rFonts w:ascii="Times New Roman" w:hAnsi="Times New Roman" w:cs="Times New Roman"/>
          <w:sz w:val="24"/>
          <w:szCs w:val="24"/>
        </w:rPr>
        <w:t>consists of adding partial scores for each priority part</w:t>
      </w:r>
      <w:r>
        <w:rPr>
          <w:rFonts w:ascii="Times New Roman" w:hAnsi="Times New Roman" w:cs="Times New Roman"/>
          <w:sz w:val="24"/>
          <w:szCs w:val="24"/>
        </w:rPr>
        <w:t xml:space="preserve">, </w:t>
      </w:r>
      <w:r w:rsidR="009B72C0">
        <w:rPr>
          <w:rFonts w:ascii="Times New Roman" w:hAnsi="Times New Roman" w:cs="Times New Roman"/>
          <w:sz w:val="24"/>
          <w:szCs w:val="24"/>
        </w:rPr>
        <w:t>such</w:t>
      </w:r>
      <w:r>
        <w:rPr>
          <w:rFonts w:ascii="Times New Roman" w:hAnsi="Times New Roman" w:cs="Times New Roman"/>
          <w:sz w:val="24"/>
          <w:szCs w:val="24"/>
        </w:rPr>
        <w:t xml:space="preserve"> score is</w:t>
      </w:r>
      <w:r w:rsidR="001A222E">
        <w:rPr>
          <w:rFonts w:ascii="Times New Roman" w:hAnsi="Times New Roman" w:cs="Times New Roman"/>
          <w:sz w:val="24"/>
          <w:szCs w:val="24"/>
        </w:rPr>
        <w:t xml:space="preserve"> </w:t>
      </w:r>
      <w:r w:rsidR="009B72C0">
        <w:rPr>
          <w:rFonts w:ascii="Times New Roman" w:hAnsi="Times New Roman" w:cs="Times New Roman"/>
          <w:sz w:val="24"/>
          <w:szCs w:val="24"/>
        </w:rPr>
        <w:t>calculated</w:t>
      </w:r>
      <w:r w:rsidR="001A222E">
        <w:rPr>
          <w:rFonts w:ascii="Times New Roman" w:hAnsi="Times New Roman" w:cs="Times New Roman"/>
          <w:sz w:val="24"/>
          <w:szCs w:val="24"/>
        </w:rPr>
        <w:t xml:space="preserve"> according to the formula:  </w:t>
      </w:r>
    </w:p>
    <w:p w14:paraId="30F07FB2" w14:textId="6D341BC4" w:rsidR="001A222E" w:rsidRDefault="00037509" w:rsidP="001A222E">
      <w:pPr>
        <w:pStyle w:val="Text2"/>
        <w:ind w:left="850"/>
        <w:rPr>
          <w:szCs w:val="24"/>
        </w:rPr>
      </w:pP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PP1</m:t>
            </m:r>
          </m:sub>
        </m:sSub>
        <m:r>
          <w:rPr>
            <w:rFonts w:ascii="Cambria Math" w:hAnsi="Cambria Math"/>
          </w:rPr>
          <m:t>×</m:t>
        </m:r>
        <m:sSub>
          <m:sSubPr>
            <m:ctrlPr>
              <w:rPr>
                <w:rFonts w:ascii="Cambria Math" w:hAnsi="Cambria Math"/>
                <w:i/>
              </w:rPr>
            </m:ctrlPr>
          </m:sSubPr>
          <m:e>
            <m:r>
              <w:rPr>
                <w:rFonts w:ascii="Cambria Math" w:hAnsi="Cambria Math"/>
              </w:rPr>
              <m:t>Sn</m:t>
            </m:r>
          </m:e>
          <m:sub>
            <m:r>
              <w:rPr>
                <w:rFonts w:ascii="Cambria Math" w:hAnsi="Cambria Math"/>
              </w:rPr>
              <m:t>PP1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PP2</m:t>
            </m:r>
          </m:sub>
        </m:sSub>
        <m:r>
          <w:rPr>
            <w:rFonts w:ascii="Cambria Math" w:hAnsi="Cambria Math"/>
          </w:rPr>
          <m:t>×</m:t>
        </m:r>
        <m:sSub>
          <m:sSubPr>
            <m:ctrlPr>
              <w:rPr>
                <w:rFonts w:ascii="Cambria Math" w:hAnsi="Cambria Math"/>
                <w:i/>
              </w:rPr>
            </m:ctrlPr>
          </m:sSubPr>
          <m:e>
            <m:r>
              <w:rPr>
                <w:rFonts w:ascii="Cambria Math" w:hAnsi="Cambria Math"/>
              </w:rPr>
              <m:t>Sn</m:t>
            </m:r>
          </m:e>
          <m:sub>
            <m:r>
              <w:rPr>
                <w:rFonts w:ascii="Cambria Math" w:hAnsi="Cambria Math"/>
              </w:rPr>
              <m:t>PP2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PPn</m:t>
            </m:r>
          </m:sub>
        </m:sSub>
        <m:r>
          <w:rPr>
            <w:rFonts w:ascii="Cambria Math" w:hAnsi="Cambria Math"/>
          </w:rPr>
          <m:t>×</m:t>
        </m:r>
        <m:sSub>
          <m:sSubPr>
            <m:ctrlPr>
              <w:rPr>
                <w:rFonts w:ascii="Cambria Math" w:hAnsi="Cambria Math"/>
                <w:i/>
              </w:rPr>
            </m:ctrlPr>
          </m:sSubPr>
          <m:e>
            <m:r>
              <w:rPr>
                <w:rFonts w:ascii="Cambria Math" w:hAnsi="Cambria Math"/>
              </w:rPr>
              <m:t>Sn</m:t>
            </m:r>
          </m:e>
          <m:sub>
            <m:r>
              <w:rPr>
                <w:rFonts w:ascii="Cambria Math" w:hAnsi="Cambria Math"/>
              </w:rPr>
              <m:t>PPn</m:t>
            </m:r>
          </m:sub>
        </m:sSub>
      </m:oMath>
      <w:r w:rsidR="00992F4E">
        <w:rPr>
          <w:rFonts w:eastAsiaTheme="minorEastAsia"/>
        </w:rPr>
        <w:t xml:space="preserve"> (2)</w:t>
      </w:r>
    </w:p>
    <w:p w14:paraId="155F9F9E" w14:textId="335A8EBB" w:rsidR="001A222E" w:rsidRDefault="001A222E" w:rsidP="009B72C0">
      <w:pPr>
        <w:spacing w:before="240"/>
        <w:jc w:val="both"/>
        <w:rPr>
          <w:rFonts w:ascii="Times New Roman" w:hAnsi="Times New Roman" w:cs="Times New Roman"/>
          <w:sz w:val="24"/>
          <w:szCs w:val="24"/>
        </w:rPr>
      </w:pPr>
      <w:r>
        <w:rPr>
          <w:rFonts w:ascii="Times New Roman" w:hAnsi="Times New Roman" w:cs="Times New Roman"/>
          <w:sz w:val="24"/>
          <w:szCs w:val="24"/>
        </w:rPr>
        <w:t xml:space="preserve">where </w:t>
      </w:r>
      <w:r w:rsidRPr="00D16680">
        <w:rPr>
          <w:rFonts w:ascii="Times New Roman" w:hAnsi="Times New Roman" w:cs="Times New Roman"/>
          <w:i/>
          <w:iCs/>
          <w:sz w:val="24"/>
          <w:szCs w:val="24"/>
        </w:rPr>
        <w:t>Sn</w:t>
      </w:r>
      <w:r w:rsidRPr="00D16680">
        <w:rPr>
          <w:rFonts w:ascii="Times New Roman" w:hAnsi="Times New Roman" w:cs="Times New Roman"/>
          <w:i/>
          <w:iCs/>
          <w:sz w:val="24"/>
          <w:szCs w:val="24"/>
          <w:vertAlign w:val="subscript"/>
        </w:rPr>
        <w:t>PPn</w:t>
      </w:r>
      <w:r>
        <w:rPr>
          <w:rFonts w:ascii="Times New Roman" w:hAnsi="Times New Roman" w:cs="Times New Roman"/>
          <w:sz w:val="24"/>
          <w:szCs w:val="24"/>
        </w:rPr>
        <w:t xml:space="preserve"> is the score of each priority part </w:t>
      </w:r>
      <w:r w:rsidR="00FC47D6" w:rsidRPr="00FC47D6">
        <w:rPr>
          <w:rFonts w:ascii="Times New Roman" w:hAnsi="Times New Roman" w:cs="Times New Roman"/>
          <w:i/>
          <w:iCs/>
          <w:sz w:val="24"/>
          <w:szCs w:val="24"/>
        </w:rPr>
        <w:t>PPn</w:t>
      </w:r>
      <w:r w:rsidR="00FC47D6">
        <w:rPr>
          <w:rFonts w:ascii="Times New Roman" w:hAnsi="Times New Roman" w:cs="Times New Roman"/>
          <w:sz w:val="24"/>
          <w:szCs w:val="24"/>
        </w:rPr>
        <w:t xml:space="preserve"> </w:t>
      </w:r>
      <w:r>
        <w:rPr>
          <w:rFonts w:ascii="Times New Roman" w:hAnsi="Times New Roman" w:cs="Times New Roman"/>
          <w:sz w:val="24"/>
          <w:szCs w:val="24"/>
        </w:rPr>
        <w:t xml:space="preserve">with respect to the scoring parameter </w:t>
      </w:r>
      <w:r w:rsidR="007D3EE0">
        <w:rPr>
          <w:rFonts w:ascii="Times New Roman" w:hAnsi="Times New Roman" w:cs="Times New Roman"/>
          <w:i/>
          <w:iCs/>
          <w:sz w:val="24"/>
          <w:szCs w:val="24"/>
        </w:rPr>
        <w:t>n</w:t>
      </w:r>
      <w:r w:rsidR="00C559FC">
        <w:rPr>
          <w:rFonts w:ascii="Times New Roman" w:hAnsi="Times New Roman" w:cs="Times New Roman"/>
          <w:sz w:val="24"/>
          <w:szCs w:val="24"/>
        </w:rPr>
        <w:t xml:space="preserve">, and </w:t>
      </w:r>
      <w:r w:rsidRPr="00C559FC">
        <w:rPr>
          <w:rFonts w:ascii="Times New Roman" w:hAnsi="Times New Roman" w:cs="Times New Roman"/>
          <w:i/>
          <w:iCs/>
          <w:sz w:val="24"/>
          <w:szCs w:val="24"/>
        </w:rPr>
        <w:t>α</w:t>
      </w:r>
      <w:r w:rsidRPr="00C559FC">
        <w:rPr>
          <w:rFonts w:ascii="Times New Roman" w:hAnsi="Times New Roman" w:cs="Times New Roman"/>
          <w:i/>
          <w:iCs/>
          <w:sz w:val="24"/>
          <w:szCs w:val="24"/>
          <w:vertAlign w:val="subscript"/>
        </w:rPr>
        <w:t>PPn</w:t>
      </w:r>
      <w:r w:rsidR="00C559FC">
        <w:rPr>
          <w:rFonts w:ascii="Times New Roman" w:hAnsi="Times New Roman" w:cs="Times New Roman"/>
          <w:sz w:val="24"/>
          <w:szCs w:val="24"/>
        </w:rPr>
        <w:t xml:space="preserve"> a weighting factor</w:t>
      </w:r>
      <w:r>
        <w:rPr>
          <w:rFonts w:ascii="Times New Roman" w:hAnsi="Times New Roman" w:cs="Times New Roman"/>
          <w:sz w:val="24"/>
          <w:szCs w:val="24"/>
        </w:rPr>
        <w:t xml:space="preserve"> </w:t>
      </w:r>
      <w:r w:rsidR="009B72C0">
        <w:rPr>
          <w:rFonts w:ascii="Times New Roman" w:hAnsi="Times New Roman" w:cs="Times New Roman"/>
          <w:sz w:val="24"/>
          <w:szCs w:val="24"/>
        </w:rPr>
        <w:t xml:space="preserve">which would depend on factors </w:t>
      </w:r>
      <w:r>
        <w:rPr>
          <w:rFonts w:ascii="Times New Roman" w:hAnsi="Times New Roman" w:cs="Times New Roman"/>
          <w:sz w:val="24"/>
          <w:szCs w:val="24"/>
        </w:rPr>
        <w:t>such as the relevance of the priority part or the likelihood of failure. Assuming that all priority parts are equally relevant, α</w:t>
      </w:r>
      <w:r w:rsidRPr="007361BE">
        <w:rPr>
          <w:rFonts w:ascii="Times New Roman" w:hAnsi="Times New Roman" w:cs="Times New Roman"/>
          <w:sz w:val="24"/>
          <w:szCs w:val="24"/>
          <w:vertAlign w:val="subscript"/>
        </w:rPr>
        <w:t>PPn</w:t>
      </w:r>
      <w:r>
        <w:rPr>
          <w:rFonts w:ascii="Times New Roman" w:hAnsi="Times New Roman" w:cs="Times New Roman"/>
          <w:sz w:val="24"/>
          <w:szCs w:val="24"/>
        </w:rPr>
        <w:t xml:space="preserve"> can be just fixed according to the likelihood of failure. </w:t>
      </w:r>
    </w:p>
    <w:p w14:paraId="4E72AD91" w14:textId="78D0CB21" w:rsidR="001A222E" w:rsidRDefault="001A222E" w:rsidP="00BF5F9F">
      <w:pPr>
        <w:jc w:val="both"/>
        <w:rPr>
          <w:rFonts w:ascii="Times New Roman" w:hAnsi="Times New Roman" w:cs="Times New Roman"/>
          <w:sz w:val="24"/>
          <w:szCs w:val="24"/>
        </w:rPr>
      </w:pPr>
      <w:r>
        <w:rPr>
          <w:rFonts w:ascii="Times New Roman" w:hAnsi="Times New Roman" w:cs="Times New Roman"/>
          <w:sz w:val="24"/>
          <w:szCs w:val="24"/>
        </w:rPr>
        <w:t xml:space="preserve">The </w:t>
      </w:r>
      <w:r w:rsidRPr="00AA788F">
        <w:rPr>
          <w:rFonts w:ascii="Times New Roman" w:hAnsi="Times New Roman" w:cs="Times New Roman"/>
          <w:b/>
          <w:bCs/>
          <w:sz w:val="24"/>
          <w:szCs w:val="24"/>
        </w:rPr>
        <w:t>third and final element</w:t>
      </w:r>
      <w:r w:rsidR="00A65759">
        <w:rPr>
          <w:rFonts w:ascii="Times New Roman" w:hAnsi="Times New Roman" w:cs="Times New Roman"/>
          <w:sz w:val="24"/>
          <w:szCs w:val="24"/>
        </w:rPr>
        <w:t xml:space="preserve"> of the repairability score</w:t>
      </w:r>
      <w:r>
        <w:rPr>
          <w:rFonts w:ascii="Times New Roman" w:hAnsi="Times New Roman" w:cs="Times New Roman"/>
          <w:sz w:val="24"/>
          <w:szCs w:val="24"/>
        </w:rPr>
        <w:t xml:space="preserve"> is the </w:t>
      </w:r>
      <w:r w:rsidRPr="00AA788F">
        <w:rPr>
          <w:rFonts w:ascii="Times New Roman" w:hAnsi="Times New Roman" w:cs="Times New Roman"/>
          <w:b/>
          <w:bCs/>
          <w:sz w:val="24"/>
          <w:szCs w:val="24"/>
        </w:rPr>
        <w:t>scoring framework</w:t>
      </w:r>
      <w:r w:rsidR="007D3EE0">
        <w:rPr>
          <w:rFonts w:ascii="Times New Roman" w:hAnsi="Times New Roman" w:cs="Times New Roman"/>
          <w:sz w:val="24"/>
          <w:szCs w:val="24"/>
        </w:rPr>
        <w:t xml:space="preserve">. The scoring framework </w:t>
      </w:r>
      <w:r w:rsidR="00654A62">
        <w:rPr>
          <w:rFonts w:ascii="Times New Roman" w:hAnsi="Times New Roman" w:cs="Times New Roman"/>
          <w:sz w:val="24"/>
          <w:szCs w:val="24"/>
        </w:rPr>
        <w:t>sets out</w:t>
      </w:r>
      <w:r w:rsidR="007D3EE0">
        <w:rPr>
          <w:rFonts w:ascii="Times New Roman" w:hAnsi="Times New Roman" w:cs="Times New Roman"/>
          <w:sz w:val="24"/>
          <w:szCs w:val="24"/>
        </w:rPr>
        <w:t xml:space="preserve">, for each scoring parameter </w:t>
      </w:r>
      <w:r w:rsidR="007D3EE0" w:rsidRPr="007D3EE0">
        <w:rPr>
          <w:rFonts w:ascii="Times New Roman" w:hAnsi="Times New Roman" w:cs="Times New Roman"/>
          <w:i/>
          <w:iCs/>
          <w:sz w:val="24"/>
          <w:szCs w:val="24"/>
        </w:rPr>
        <w:t>n</w:t>
      </w:r>
      <w:r w:rsidR="007D3EE0">
        <w:rPr>
          <w:rFonts w:ascii="Times New Roman" w:hAnsi="Times New Roman" w:cs="Times New Roman"/>
          <w:sz w:val="24"/>
          <w:szCs w:val="24"/>
        </w:rPr>
        <w:t xml:space="preserve">, the </w:t>
      </w:r>
      <w:r w:rsidR="004E46E1">
        <w:rPr>
          <w:rFonts w:ascii="Times New Roman" w:hAnsi="Times New Roman" w:cs="Times New Roman"/>
          <w:sz w:val="24"/>
          <w:szCs w:val="24"/>
        </w:rPr>
        <w:t xml:space="preserve">type of </w:t>
      </w:r>
      <w:r w:rsidR="007D3EE0">
        <w:rPr>
          <w:rFonts w:ascii="Times New Roman" w:hAnsi="Times New Roman" w:cs="Times New Roman"/>
          <w:sz w:val="24"/>
          <w:szCs w:val="24"/>
        </w:rPr>
        <w:t xml:space="preserve">score </w:t>
      </w:r>
      <w:r w:rsidR="004E46E1">
        <w:rPr>
          <w:rFonts w:ascii="Times New Roman" w:hAnsi="Times New Roman" w:cs="Times New Roman"/>
          <w:sz w:val="24"/>
          <w:szCs w:val="24"/>
        </w:rPr>
        <w:t xml:space="preserve">to be </w:t>
      </w:r>
      <w:r w:rsidR="00D46F36">
        <w:rPr>
          <w:rFonts w:ascii="Times New Roman" w:hAnsi="Times New Roman" w:cs="Times New Roman"/>
          <w:sz w:val="24"/>
          <w:szCs w:val="24"/>
        </w:rPr>
        <w:t>applied</w:t>
      </w:r>
      <w:r w:rsidR="004E46E1">
        <w:rPr>
          <w:rFonts w:ascii="Times New Roman" w:hAnsi="Times New Roman" w:cs="Times New Roman"/>
          <w:sz w:val="24"/>
          <w:szCs w:val="24"/>
        </w:rPr>
        <w:t xml:space="preserve"> </w:t>
      </w:r>
      <w:r w:rsidR="007D3EE0">
        <w:rPr>
          <w:rFonts w:ascii="Times New Roman" w:hAnsi="Times New Roman" w:cs="Times New Roman"/>
          <w:sz w:val="24"/>
          <w:szCs w:val="24"/>
        </w:rPr>
        <w:t>(for instance a 1-to-</w:t>
      </w:r>
      <w:r w:rsidR="00D46F36">
        <w:rPr>
          <w:rFonts w:ascii="Times New Roman" w:hAnsi="Times New Roman" w:cs="Times New Roman"/>
          <w:sz w:val="24"/>
          <w:szCs w:val="24"/>
        </w:rPr>
        <w:t>5</w:t>
      </w:r>
      <w:r w:rsidR="007D3EE0">
        <w:rPr>
          <w:rFonts w:ascii="Times New Roman" w:hAnsi="Times New Roman" w:cs="Times New Roman"/>
          <w:sz w:val="24"/>
          <w:szCs w:val="24"/>
        </w:rPr>
        <w:t xml:space="preserve"> score) </w:t>
      </w:r>
      <w:r w:rsidR="004E46E1">
        <w:rPr>
          <w:rFonts w:ascii="Times New Roman" w:hAnsi="Times New Roman" w:cs="Times New Roman"/>
          <w:sz w:val="24"/>
          <w:szCs w:val="24"/>
        </w:rPr>
        <w:t xml:space="preserve">and the criteria to apply such score (for instance, </w:t>
      </w:r>
      <w:r w:rsidR="00E21091">
        <w:rPr>
          <w:rFonts w:ascii="Times New Roman" w:hAnsi="Times New Roman" w:cs="Times New Roman"/>
          <w:sz w:val="24"/>
          <w:szCs w:val="24"/>
        </w:rPr>
        <w:t xml:space="preserve">for the scoring parameter </w:t>
      </w:r>
      <w:r w:rsidR="00E21091" w:rsidRPr="00E21091">
        <w:rPr>
          <w:rFonts w:ascii="Times New Roman" w:hAnsi="Times New Roman" w:cs="Times New Roman"/>
          <w:i/>
          <w:iCs/>
          <w:sz w:val="24"/>
          <w:szCs w:val="24"/>
        </w:rPr>
        <w:t>disassembly depth</w:t>
      </w:r>
      <w:r w:rsidR="00E21091">
        <w:rPr>
          <w:rFonts w:ascii="Times New Roman" w:hAnsi="Times New Roman" w:cs="Times New Roman"/>
          <w:sz w:val="24"/>
          <w:szCs w:val="24"/>
        </w:rPr>
        <w:t xml:space="preserve">, </w:t>
      </w:r>
      <w:r w:rsidR="004E46E1">
        <w:rPr>
          <w:rFonts w:ascii="Times New Roman" w:hAnsi="Times New Roman" w:cs="Times New Roman"/>
          <w:sz w:val="24"/>
          <w:szCs w:val="24"/>
        </w:rPr>
        <w:t>the 1-to-</w:t>
      </w:r>
      <w:r w:rsidR="00D46F36">
        <w:rPr>
          <w:rFonts w:ascii="Times New Roman" w:hAnsi="Times New Roman" w:cs="Times New Roman"/>
          <w:sz w:val="24"/>
          <w:szCs w:val="24"/>
        </w:rPr>
        <w:t>5</w:t>
      </w:r>
      <w:r w:rsidR="004E46E1">
        <w:rPr>
          <w:rFonts w:ascii="Times New Roman" w:hAnsi="Times New Roman" w:cs="Times New Roman"/>
          <w:sz w:val="24"/>
          <w:szCs w:val="24"/>
        </w:rPr>
        <w:t xml:space="preserve"> score </w:t>
      </w:r>
      <w:r w:rsidR="00E21091">
        <w:rPr>
          <w:rFonts w:ascii="Times New Roman" w:hAnsi="Times New Roman" w:cs="Times New Roman"/>
          <w:sz w:val="24"/>
          <w:szCs w:val="24"/>
        </w:rPr>
        <w:t xml:space="preserve">for a </w:t>
      </w:r>
      <w:r w:rsidR="00332AD6">
        <w:rPr>
          <w:rFonts w:ascii="Times New Roman" w:hAnsi="Times New Roman" w:cs="Times New Roman"/>
          <w:sz w:val="24"/>
          <w:szCs w:val="24"/>
        </w:rPr>
        <w:t xml:space="preserve">specific </w:t>
      </w:r>
      <w:r w:rsidR="00E21091">
        <w:rPr>
          <w:rFonts w:ascii="Times New Roman" w:hAnsi="Times New Roman" w:cs="Times New Roman"/>
          <w:sz w:val="24"/>
          <w:szCs w:val="24"/>
        </w:rPr>
        <w:t xml:space="preserve">priority part </w:t>
      </w:r>
      <w:r w:rsidR="004E46E1">
        <w:rPr>
          <w:rFonts w:ascii="Times New Roman" w:hAnsi="Times New Roman" w:cs="Times New Roman"/>
          <w:sz w:val="24"/>
          <w:szCs w:val="24"/>
        </w:rPr>
        <w:t xml:space="preserve">would be higher the lesser is the number of steps taken to disassemble that priority part). The score for each priority part would </w:t>
      </w:r>
      <w:r w:rsidR="004E46E1">
        <w:rPr>
          <w:rFonts w:ascii="Times New Roman" w:hAnsi="Times New Roman" w:cs="Times New Roman"/>
          <w:sz w:val="24"/>
          <w:szCs w:val="24"/>
        </w:rPr>
        <w:lastRenderedPageBreak/>
        <w:t>go in</w:t>
      </w:r>
      <w:r w:rsidR="008B6034">
        <w:rPr>
          <w:rFonts w:ascii="Times New Roman" w:hAnsi="Times New Roman" w:cs="Times New Roman"/>
          <w:sz w:val="24"/>
          <w:szCs w:val="24"/>
        </w:rPr>
        <w:t>to</w:t>
      </w:r>
      <w:r w:rsidR="004E46E1">
        <w:rPr>
          <w:rFonts w:ascii="Times New Roman" w:hAnsi="Times New Roman" w:cs="Times New Roman"/>
          <w:sz w:val="24"/>
          <w:szCs w:val="24"/>
        </w:rPr>
        <w:t xml:space="preserve"> formula (2), or directly into formula (1) if the </w:t>
      </w:r>
      <w:r w:rsidR="00E21091">
        <w:rPr>
          <w:rFonts w:ascii="Times New Roman" w:hAnsi="Times New Roman" w:cs="Times New Roman"/>
          <w:sz w:val="24"/>
          <w:szCs w:val="24"/>
        </w:rPr>
        <w:t>scoring parameter is addressed at product level and not at priority part level</w:t>
      </w:r>
      <w:r w:rsidR="00332AD6">
        <w:rPr>
          <w:rFonts w:ascii="Times New Roman" w:hAnsi="Times New Roman" w:cs="Times New Roman"/>
          <w:sz w:val="24"/>
          <w:szCs w:val="24"/>
        </w:rPr>
        <w:t>, as explained above</w:t>
      </w:r>
      <w:r>
        <w:rPr>
          <w:rFonts w:ascii="Times New Roman" w:hAnsi="Times New Roman" w:cs="Times New Roman"/>
          <w:sz w:val="24"/>
          <w:szCs w:val="24"/>
        </w:rPr>
        <w:t xml:space="preserve">.  </w:t>
      </w:r>
    </w:p>
    <w:p w14:paraId="2F7990CE" w14:textId="6A5DA33B" w:rsidR="001A222E" w:rsidRDefault="00F13BD4" w:rsidP="00671375">
      <w:pPr>
        <w:pStyle w:val="Heading2"/>
      </w:pPr>
      <w:r>
        <w:t>R</w:t>
      </w:r>
      <w:r w:rsidR="00A65759">
        <w:t>epairability</w:t>
      </w:r>
      <w:r w:rsidR="001A222E">
        <w:t xml:space="preserve"> score </w:t>
      </w:r>
      <w:r>
        <w:t>for</w:t>
      </w:r>
      <w:r w:rsidR="001A222E">
        <w:t xml:space="preserve"> tumble dryers</w:t>
      </w:r>
    </w:p>
    <w:p w14:paraId="6FB4FE92" w14:textId="73296251" w:rsidR="00671375" w:rsidRDefault="00671375" w:rsidP="00671375">
      <w:pPr>
        <w:jc w:val="both"/>
        <w:rPr>
          <w:rFonts w:ascii="Times New Roman" w:hAnsi="Times New Roman" w:cs="Times New Roman"/>
          <w:sz w:val="24"/>
          <w:szCs w:val="24"/>
        </w:rPr>
      </w:pPr>
      <w:r>
        <w:rPr>
          <w:rFonts w:ascii="Times New Roman" w:hAnsi="Times New Roman" w:cs="Times New Roman"/>
          <w:sz w:val="24"/>
          <w:szCs w:val="24"/>
        </w:rPr>
        <w:t>The general formula</w:t>
      </w:r>
      <w:r w:rsidR="00BC7948">
        <w:rPr>
          <w:rFonts w:ascii="Times New Roman" w:hAnsi="Times New Roman" w:cs="Times New Roman"/>
          <w:sz w:val="24"/>
          <w:szCs w:val="24"/>
        </w:rPr>
        <w:t>s</w:t>
      </w:r>
      <w:r>
        <w:rPr>
          <w:rFonts w:ascii="Times New Roman" w:hAnsi="Times New Roman" w:cs="Times New Roman"/>
          <w:sz w:val="24"/>
          <w:szCs w:val="24"/>
        </w:rPr>
        <w:t xml:space="preserve"> </w:t>
      </w:r>
      <w:r w:rsidR="009B72C0">
        <w:rPr>
          <w:rFonts w:ascii="Times New Roman" w:hAnsi="Times New Roman" w:cs="Times New Roman"/>
          <w:sz w:val="24"/>
          <w:szCs w:val="24"/>
        </w:rPr>
        <w:t xml:space="preserve">(1) </w:t>
      </w:r>
      <w:r w:rsidR="00BC7948">
        <w:rPr>
          <w:rFonts w:ascii="Times New Roman" w:hAnsi="Times New Roman" w:cs="Times New Roman"/>
          <w:sz w:val="24"/>
          <w:szCs w:val="24"/>
        </w:rPr>
        <w:t xml:space="preserve">and (2) </w:t>
      </w:r>
      <w:r>
        <w:rPr>
          <w:rFonts w:ascii="Times New Roman" w:hAnsi="Times New Roman" w:cs="Times New Roman"/>
          <w:sz w:val="24"/>
          <w:szCs w:val="24"/>
        </w:rPr>
        <w:t xml:space="preserve">must be adapted to tumble dryers. </w:t>
      </w:r>
    </w:p>
    <w:p w14:paraId="118CF19B" w14:textId="3C6352DE" w:rsidR="00E138C7" w:rsidRDefault="00E138C7" w:rsidP="00E138C7">
      <w:pPr>
        <w:spacing w:before="240"/>
        <w:jc w:val="both"/>
        <w:rPr>
          <w:rFonts w:ascii="Times New Roman" w:hAnsi="Times New Roman" w:cs="Times New Roman"/>
          <w:sz w:val="24"/>
          <w:szCs w:val="24"/>
        </w:rPr>
      </w:pPr>
      <w:r>
        <w:rPr>
          <w:rFonts w:ascii="Times New Roman" w:hAnsi="Times New Roman" w:cs="Times New Roman"/>
          <w:sz w:val="24"/>
          <w:szCs w:val="24"/>
        </w:rPr>
        <w:t>The scoring parameters are the following: disassembly depth (DD), Fasteners type (F), Tools type (T), Repair information (RI) and detachability of the side panels (DS)</w:t>
      </w:r>
      <w:r w:rsidR="00F13BD4">
        <w:rPr>
          <w:rFonts w:ascii="Times New Roman" w:hAnsi="Times New Roman" w:cs="Times New Roman"/>
          <w:sz w:val="24"/>
          <w:szCs w:val="24"/>
        </w:rPr>
        <w:t xml:space="preserve">. </w:t>
      </w:r>
      <w:r w:rsidR="004778C7">
        <w:rPr>
          <w:rFonts w:ascii="Times New Roman" w:hAnsi="Times New Roman" w:cs="Times New Roman"/>
          <w:sz w:val="24"/>
          <w:szCs w:val="24"/>
        </w:rPr>
        <w:t xml:space="preserve">These have been derived from the </w:t>
      </w:r>
      <w:r w:rsidR="004E087B">
        <w:rPr>
          <w:rFonts w:ascii="Times New Roman" w:hAnsi="Times New Roman" w:cs="Times New Roman"/>
          <w:sz w:val="24"/>
          <w:szCs w:val="24"/>
        </w:rPr>
        <w:t xml:space="preserve">German repairability </w:t>
      </w:r>
      <w:r w:rsidR="004778C7">
        <w:rPr>
          <w:rFonts w:ascii="Times New Roman" w:hAnsi="Times New Roman" w:cs="Times New Roman"/>
          <w:sz w:val="24"/>
          <w:szCs w:val="24"/>
        </w:rPr>
        <w:t xml:space="preserve">study and </w:t>
      </w:r>
      <w:r w:rsidR="00BD7453">
        <w:rPr>
          <w:rFonts w:ascii="Times New Roman" w:hAnsi="Times New Roman" w:cs="Times New Roman"/>
          <w:sz w:val="24"/>
          <w:szCs w:val="24"/>
        </w:rPr>
        <w:t xml:space="preserve">further </w:t>
      </w:r>
      <w:r w:rsidR="004778C7">
        <w:rPr>
          <w:rFonts w:ascii="Times New Roman" w:hAnsi="Times New Roman" w:cs="Times New Roman"/>
          <w:sz w:val="24"/>
          <w:szCs w:val="24"/>
        </w:rPr>
        <w:t>adapted after discussion with stakeholders at the Consultation Forum on</w:t>
      </w:r>
      <w:r w:rsidR="00BD7453">
        <w:rPr>
          <w:rFonts w:ascii="Times New Roman" w:hAnsi="Times New Roman" w:cs="Times New Roman"/>
          <w:sz w:val="24"/>
          <w:szCs w:val="24"/>
        </w:rPr>
        <w:t xml:space="preserve"> 11 March 2024</w:t>
      </w:r>
      <w:r w:rsidR="004778C7">
        <w:rPr>
          <w:rFonts w:ascii="Times New Roman" w:hAnsi="Times New Roman" w:cs="Times New Roman"/>
          <w:sz w:val="24"/>
          <w:szCs w:val="24"/>
        </w:rPr>
        <w:t>, taking specially into account APPLiAs expertise.</w:t>
      </w:r>
    </w:p>
    <w:p w14:paraId="671D8067" w14:textId="10841CD4" w:rsidR="00E138C7" w:rsidRDefault="00E138C7" w:rsidP="00E138C7">
      <w:pPr>
        <w:spacing w:before="240"/>
        <w:jc w:val="both"/>
        <w:rPr>
          <w:rFonts w:ascii="Times New Roman" w:hAnsi="Times New Roman" w:cs="Times New Roman"/>
          <w:sz w:val="24"/>
          <w:szCs w:val="24"/>
        </w:rPr>
      </w:pPr>
      <w:r>
        <w:rPr>
          <w:rFonts w:ascii="Times New Roman" w:hAnsi="Times New Roman" w:cs="Times New Roman"/>
          <w:sz w:val="24"/>
          <w:szCs w:val="24"/>
        </w:rPr>
        <w:t>Subsequently, the formula for a repairability score for tumble dryers read</w:t>
      </w:r>
      <w:r w:rsidR="00F13BD4">
        <w:rPr>
          <w:rFonts w:ascii="Times New Roman" w:hAnsi="Times New Roman" w:cs="Times New Roman"/>
          <w:sz w:val="24"/>
          <w:szCs w:val="24"/>
        </w:rPr>
        <w:t>s</w:t>
      </w:r>
      <w:r>
        <w:rPr>
          <w:rFonts w:ascii="Times New Roman" w:hAnsi="Times New Roman" w:cs="Times New Roman"/>
          <w:sz w:val="24"/>
          <w:szCs w:val="24"/>
        </w:rPr>
        <w:t xml:space="preserve"> as follows: </w:t>
      </w:r>
    </w:p>
    <w:p w14:paraId="5EA24063" w14:textId="23186909" w:rsidR="00E138C7" w:rsidRDefault="00710BF0" w:rsidP="00DC2F3C">
      <w:pPr>
        <w:spacing w:before="240"/>
        <w:jc w:val="both"/>
        <w:rPr>
          <w:rFonts w:ascii="Times New Roman" w:hAnsi="Times New Roman" w:cs="Times New Roman"/>
          <w:sz w:val="24"/>
          <w:szCs w:val="24"/>
        </w:rPr>
      </w:pPr>
      <m:oMath>
        <m:r>
          <w:rPr>
            <w:rFonts w:ascii="Cambria Math" w:hAnsi="Cambria Math"/>
          </w:rPr>
          <m:t>R=0,225×</m:t>
        </m:r>
        <m:sSub>
          <m:sSubPr>
            <m:ctrlPr>
              <w:rPr>
                <w:rFonts w:ascii="Cambria Math" w:hAnsi="Cambria Math"/>
                <w:i/>
              </w:rPr>
            </m:ctrlPr>
          </m:sSubPr>
          <m:e>
            <m:r>
              <w:rPr>
                <w:rFonts w:ascii="Cambria Math" w:hAnsi="Cambria Math"/>
              </w:rPr>
              <m:t>S</m:t>
            </m:r>
          </m:e>
          <m:sub>
            <m:r>
              <w:rPr>
                <w:rFonts w:ascii="Cambria Math" w:hAnsi="Cambria Math"/>
              </w:rPr>
              <m:t>DD</m:t>
            </m:r>
          </m:sub>
        </m:sSub>
        <m:r>
          <w:rPr>
            <w:rFonts w:ascii="Cambria Math" w:hAnsi="Cambria Math"/>
          </w:rPr>
          <m:t>+0,225×</m:t>
        </m:r>
        <m:sSub>
          <m:sSubPr>
            <m:ctrlPr>
              <w:rPr>
                <w:rFonts w:ascii="Cambria Math" w:hAnsi="Cambria Math"/>
                <w:i/>
              </w:rPr>
            </m:ctrlPr>
          </m:sSubPr>
          <m:e>
            <m:r>
              <w:rPr>
                <w:rFonts w:ascii="Cambria Math" w:hAnsi="Cambria Math"/>
              </w:rPr>
              <m:t>S</m:t>
            </m:r>
          </m:e>
          <m:sub>
            <m:r>
              <w:rPr>
                <w:rFonts w:ascii="Cambria Math" w:hAnsi="Cambria Math"/>
              </w:rPr>
              <m:t>F</m:t>
            </m:r>
          </m:sub>
        </m:sSub>
        <m:r>
          <w:rPr>
            <w:rFonts w:ascii="Cambria Math" w:hAnsi="Cambria Math"/>
          </w:rPr>
          <m:t>+0,225</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eastAsiaTheme="minorEastAsia" w:hAnsi="Cambria Math"/>
          </w:rPr>
          <m:t>+0,100</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RI</m:t>
            </m:r>
          </m:sub>
        </m:sSub>
        <m:r>
          <w:rPr>
            <w:rFonts w:ascii="Cambria Math" w:eastAsiaTheme="minorEastAsia" w:hAnsi="Cambria Math"/>
          </w:rPr>
          <m:t>+0,225</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DS</m:t>
            </m:r>
          </m:sub>
        </m:sSub>
      </m:oMath>
      <w:r w:rsidR="00992F4E">
        <w:rPr>
          <w:rFonts w:ascii="Times New Roman" w:eastAsiaTheme="minorEastAsia" w:hAnsi="Times New Roman" w:cs="Times New Roman"/>
        </w:rPr>
        <w:t xml:space="preserve"> (3)</w:t>
      </w:r>
    </w:p>
    <w:p w14:paraId="3051D381" w14:textId="084CA375" w:rsidR="00710BF0" w:rsidRDefault="00710BF0" w:rsidP="00DC2F3C">
      <w:pPr>
        <w:spacing w:before="240"/>
        <w:jc w:val="both"/>
        <w:rPr>
          <w:rFonts w:ascii="Times New Roman" w:hAnsi="Times New Roman" w:cs="Times New Roman"/>
          <w:sz w:val="24"/>
          <w:szCs w:val="24"/>
        </w:rPr>
      </w:pPr>
      <w:r>
        <w:rPr>
          <w:rFonts w:ascii="Times New Roman" w:hAnsi="Times New Roman" w:cs="Times New Roman"/>
          <w:sz w:val="24"/>
          <w:szCs w:val="24"/>
        </w:rPr>
        <w:t xml:space="preserve">All scoring parameters have been assigned the same weighing factor except </w:t>
      </w:r>
      <w:r w:rsidR="008A6DB0">
        <w:rPr>
          <w:rFonts w:ascii="Times New Roman" w:hAnsi="Times New Roman" w:cs="Times New Roman"/>
          <w:sz w:val="24"/>
          <w:szCs w:val="24"/>
        </w:rPr>
        <w:t>for</w:t>
      </w:r>
      <w:r>
        <w:rPr>
          <w:rFonts w:ascii="Times New Roman" w:hAnsi="Times New Roman" w:cs="Times New Roman"/>
          <w:sz w:val="24"/>
          <w:szCs w:val="24"/>
        </w:rPr>
        <w:t xml:space="preserve"> repair information. </w:t>
      </w:r>
      <w:r w:rsidR="008E5DB4">
        <w:rPr>
          <w:rFonts w:ascii="Times New Roman" w:hAnsi="Times New Roman" w:cs="Times New Roman"/>
          <w:sz w:val="24"/>
          <w:szCs w:val="24"/>
        </w:rPr>
        <w:t>This is because Regulation (EU) 2023/2533 already sets minimum requirements on repair information</w:t>
      </w:r>
      <w:r w:rsidR="008A6DB0">
        <w:rPr>
          <w:rFonts w:ascii="Times New Roman" w:hAnsi="Times New Roman" w:cs="Times New Roman"/>
          <w:sz w:val="24"/>
          <w:szCs w:val="24"/>
        </w:rPr>
        <w:t>, making it less relevant for a repairability score</w:t>
      </w:r>
      <w:r w:rsidR="008E5DB4">
        <w:rPr>
          <w:rFonts w:ascii="Times New Roman" w:hAnsi="Times New Roman" w:cs="Times New Roman"/>
          <w:sz w:val="24"/>
          <w:szCs w:val="24"/>
        </w:rPr>
        <w:t xml:space="preserve">. </w:t>
      </w:r>
      <w:r w:rsidR="008A6DB0">
        <w:rPr>
          <w:rFonts w:ascii="Times New Roman" w:hAnsi="Times New Roman" w:cs="Times New Roman"/>
          <w:sz w:val="24"/>
          <w:szCs w:val="24"/>
        </w:rPr>
        <w:t>This approach is supported in</w:t>
      </w:r>
      <w:r w:rsidR="00BD7453">
        <w:rPr>
          <w:rFonts w:ascii="Times New Roman" w:hAnsi="Times New Roman" w:cs="Times New Roman"/>
          <w:sz w:val="24"/>
          <w:szCs w:val="24"/>
        </w:rPr>
        <w:t xml:space="preserve"> the </w:t>
      </w:r>
      <w:r w:rsidR="00F4202A">
        <w:rPr>
          <w:rFonts w:ascii="Times New Roman" w:hAnsi="Times New Roman" w:cs="Times New Roman"/>
          <w:sz w:val="24"/>
          <w:szCs w:val="24"/>
        </w:rPr>
        <w:t>JRC study on a repairability score for smartphones and tablets</w:t>
      </w:r>
      <w:r w:rsidR="00F4202A">
        <w:rPr>
          <w:rStyle w:val="FootnoteReference"/>
          <w:rFonts w:ascii="Times New Roman" w:hAnsi="Times New Roman" w:cs="Times New Roman"/>
          <w:sz w:val="24"/>
          <w:szCs w:val="24"/>
        </w:rPr>
        <w:footnoteReference w:id="20"/>
      </w:r>
      <w:r w:rsidR="008E5DB4">
        <w:rPr>
          <w:rFonts w:ascii="Times New Roman" w:hAnsi="Times New Roman" w:cs="Times New Roman"/>
          <w:sz w:val="24"/>
          <w:szCs w:val="24"/>
        </w:rPr>
        <w:t xml:space="preserve">, </w:t>
      </w:r>
      <w:r w:rsidR="008A6DB0">
        <w:rPr>
          <w:rFonts w:ascii="Times New Roman" w:hAnsi="Times New Roman" w:cs="Times New Roman"/>
          <w:sz w:val="24"/>
          <w:szCs w:val="24"/>
        </w:rPr>
        <w:t xml:space="preserve">which </w:t>
      </w:r>
      <w:r w:rsidR="008E5DB4">
        <w:rPr>
          <w:rFonts w:ascii="Times New Roman" w:hAnsi="Times New Roman" w:cs="Times New Roman"/>
          <w:sz w:val="24"/>
          <w:szCs w:val="24"/>
        </w:rPr>
        <w:t xml:space="preserve">points out that the </w:t>
      </w:r>
      <w:r w:rsidR="008E5DB4" w:rsidRPr="008E5DB4">
        <w:rPr>
          <w:rFonts w:ascii="Times New Roman" w:hAnsi="Times New Roman" w:cs="Times New Roman"/>
          <w:sz w:val="24"/>
          <w:szCs w:val="24"/>
        </w:rPr>
        <w:t xml:space="preserve">inclusion of a minimum ecodesign requirement </w:t>
      </w:r>
      <w:r w:rsidR="000965E8">
        <w:rPr>
          <w:rFonts w:ascii="Times New Roman" w:hAnsi="Times New Roman" w:cs="Times New Roman"/>
          <w:sz w:val="24"/>
          <w:szCs w:val="24"/>
        </w:rPr>
        <w:t>on</w:t>
      </w:r>
      <w:r w:rsidR="008E5DB4" w:rsidRPr="008E5DB4">
        <w:rPr>
          <w:rFonts w:ascii="Times New Roman" w:hAnsi="Times New Roman" w:cs="Times New Roman"/>
          <w:sz w:val="24"/>
          <w:szCs w:val="24"/>
        </w:rPr>
        <w:t xml:space="preserve"> </w:t>
      </w:r>
      <w:r w:rsidR="008E5DB4">
        <w:rPr>
          <w:rFonts w:ascii="Times New Roman" w:hAnsi="Times New Roman" w:cs="Times New Roman"/>
          <w:sz w:val="24"/>
          <w:szCs w:val="24"/>
        </w:rPr>
        <w:t>a</w:t>
      </w:r>
      <w:r w:rsidR="008E5DB4" w:rsidRPr="008E5DB4">
        <w:rPr>
          <w:rFonts w:ascii="Times New Roman" w:hAnsi="Times New Roman" w:cs="Times New Roman"/>
          <w:sz w:val="24"/>
          <w:szCs w:val="24"/>
        </w:rPr>
        <w:t xml:space="preserve"> specific parameter can reduce its relevance as a scoring parameter</w:t>
      </w:r>
      <w:r w:rsidR="008E5DB4">
        <w:rPr>
          <w:rFonts w:ascii="Times New Roman" w:hAnsi="Times New Roman" w:cs="Times New Roman"/>
          <w:sz w:val="24"/>
          <w:szCs w:val="24"/>
        </w:rPr>
        <w:t>.</w:t>
      </w:r>
    </w:p>
    <w:p w14:paraId="51EA1617" w14:textId="3749DF5D" w:rsidR="00762615" w:rsidRDefault="00762615" w:rsidP="00762615">
      <w:pPr>
        <w:jc w:val="both"/>
        <w:rPr>
          <w:rFonts w:ascii="Times New Roman" w:hAnsi="Times New Roman" w:cs="Times New Roman"/>
          <w:sz w:val="24"/>
          <w:szCs w:val="24"/>
        </w:rPr>
      </w:pPr>
      <w:r>
        <w:rPr>
          <w:rFonts w:ascii="Times New Roman" w:hAnsi="Times New Roman" w:cs="Times New Roman"/>
          <w:sz w:val="24"/>
          <w:szCs w:val="24"/>
        </w:rPr>
        <w:t>The chosen priority parts and the</w:t>
      </w:r>
      <w:r w:rsidR="009B72C0">
        <w:rPr>
          <w:rFonts w:ascii="Times New Roman" w:hAnsi="Times New Roman" w:cs="Times New Roman"/>
          <w:sz w:val="24"/>
          <w:szCs w:val="24"/>
        </w:rPr>
        <w:t>ir respective</w:t>
      </w:r>
      <w:r>
        <w:rPr>
          <w:rFonts w:ascii="Times New Roman" w:hAnsi="Times New Roman" w:cs="Times New Roman"/>
          <w:sz w:val="24"/>
          <w:szCs w:val="24"/>
        </w:rPr>
        <w:t xml:space="preserve"> weighing factors are the following:</w:t>
      </w:r>
    </w:p>
    <w:tbl>
      <w:tblPr>
        <w:tblStyle w:val="TableGrid"/>
        <w:tblW w:w="0" w:type="auto"/>
        <w:jc w:val="center"/>
        <w:tblLook w:val="04A0" w:firstRow="1" w:lastRow="0" w:firstColumn="1" w:lastColumn="0" w:noHBand="0" w:noVBand="1"/>
      </w:tblPr>
      <w:tblGrid>
        <w:gridCol w:w="2336"/>
        <w:gridCol w:w="2536"/>
        <w:gridCol w:w="2150"/>
        <w:gridCol w:w="1920"/>
      </w:tblGrid>
      <w:tr w:rsidR="004379B7" w:rsidRPr="00DC2F3C" w14:paraId="718ECD23" w14:textId="77777777" w:rsidTr="004379B7">
        <w:trPr>
          <w:jc w:val="center"/>
        </w:trPr>
        <w:tc>
          <w:tcPr>
            <w:tcW w:w="0" w:type="auto"/>
          </w:tcPr>
          <w:p w14:paraId="1C5E43C1" w14:textId="77777777" w:rsidR="004379B7" w:rsidRPr="00DC2F3C" w:rsidRDefault="004379B7" w:rsidP="009D32DC">
            <w:pPr>
              <w:jc w:val="both"/>
              <w:rPr>
                <w:rFonts w:ascii="Times New Roman" w:hAnsi="Times New Roman" w:cs="Times New Roman"/>
                <w:b/>
                <w:bCs/>
                <w:sz w:val="24"/>
                <w:szCs w:val="24"/>
              </w:rPr>
            </w:pPr>
            <w:r w:rsidRPr="00DC2F3C">
              <w:rPr>
                <w:rFonts w:ascii="Times New Roman" w:hAnsi="Times New Roman" w:cs="Times New Roman"/>
                <w:b/>
                <w:bCs/>
                <w:sz w:val="24"/>
                <w:szCs w:val="24"/>
              </w:rPr>
              <w:t>Priority parts</w:t>
            </w:r>
          </w:p>
        </w:tc>
        <w:tc>
          <w:tcPr>
            <w:tcW w:w="0" w:type="auto"/>
          </w:tcPr>
          <w:p w14:paraId="6759FCF5" w14:textId="3E27BD68" w:rsidR="004379B7" w:rsidRPr="00DC2F3C" w:rsidRDefault="004379B7" w:rsidP="009D32DC">
            <w:pPr>
              <w:jc w:val="both"/>
              <w:rPr>
                <w:rFonts w:ascii="Times New Roman" w:hAnsi="Times New Roman" w:cs="Times New Roman"/>
                <w:b/>
                <w:bCs/>
                <w:sz w:val="24"/>
                <w:szCs w:val="24"/>
              </w:rPr>
            </w:pPr>
            <w:r>
              <w:rPr>
                <w:rFonts w:ascii="Times New Roman" w:hAnsi="Times New Roman" w:cs="Times New Roman"/>
                <w:b/>
                <w:bCs/>
                <w:sz w:val="24"/>
                <w:szCs w:val="24"/>
              </w:rPr>
              <w:t>Acronym priority part</w:t>
            </w:r>
          </w:p>
        </w:tc>
        <w:tc>
          <w:tcPr>
            <w:tcW w:w="2150" w:type="dxa"/>
          </w:tcPr>
          <w:p w14:paraId="5EB401FA" w14:textId="0EAABC81" w:rsidR="004379B7" w:rsidRPr="00DC2F3C" w:rsidRDefault="004379B7" w:rsidP="009D32DC">
            <w:pPr>
              <w:jc w:val="both"/>
              <w:rPr>
                <w:rFonts w:ascii="Times New Roman" w:hAnsi="Times New Roman" w:cs="Times New Roman"/>
                <w:b/>
                <w:bCs/>
                <w:sz w:val="24"/>
                <w:szCs w:val="24"/>
              </w:rPr>
            </w:pPr>
            <w:r>
              <w:rPr>
                <w:rFonts w:ascii="Times New Roman" w:hAnsi="Times New Roman" w:cs="Times New Roman"/>
                <w:b/>
                <w:bCs/>
                <w:sz w:val="24"/>
                <w:szCs w:val="24"/>
              </w:rPr>
              <w:t>Denomination weighing factor</w:t>
            </w:r>
          </w:p>
        </w:tc>
        <w:tc>
          <w:tcPr>
            <w:tcW w:w="1920" w:type="dxa"/>
          </w:tcPr>
          <w:p w14:paraId="024A258A" w14:textId="74EE482D" w:rsidR="004379B7" w:rsidRPr="00DC2F3C" w:rsidRDefault="009B72C0" w:rsidP="009D32DC">
            <w:pPr>
              <w:jc w:val="both"/>
              <w:rPr>
                <w:rFonts w:ascii="Times New Roman" w:hAnsi="Times New Roman" w:cs="Times New Roman"/>
                <w:b/>
                <w:bCs/>
                <w:sz w:val="24"/>
                <w:szCs w:val="24"/>
              </w:rPr>
            </w:pPr>
            <w:r>
              <w:rPr>
                <w:rFonts w:ascii="Times New Roman" w:hAnsi="Times New Roman" w:cs="Times New Roman"/>
                <w:b/>
                <w:bCs/>
                <w:sz w:val="24"/>
                <w:szCs w:val="24"/>
              </w:rPr>
              <w:t>Value w</w:t>
            </w:r>
            <w:r w:rsidR="004379B7" w:rsidRPr="00DC2F3C">
              <w:rPr>
                <w:rFonts w:ascii="Times New Roman" w:hAnsi="Times New Roman" w:cs="Times New Roman"/>
                <w:b/>
                <w:bCs/>
                <w:sz w:val="24"/>
                <w:szCs w:val="24"/>
              </w:rPr>
              <w:t>eighing factor</w:t>
            </w:r>
          </w:p>
        </w:tc>
      </w:tr>
      <w:tr w:rsidR="004379B7" w14:paraId="68BE968D" w14:textId="77777777" w:rsidTr="004379B7">
        <w:trPr>
          <w:jc w:val="center"/>
        </w:trPr>
        <w:tc>
          <w:tcPr>
            <w:tcW w:w="0" w:type="auto"/>
          </w:tcPr>
          <w:p w14:paraId="0E60A5CA"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Water pump</w:t>
            </w:r>
          </w:p>
        </w:tc>
        <w:tc>
          <w:tcPr>
            <w:tcW w:w="0" w:type="auto"/>
          </w:tcPr>
          <w:p w14:paraId="2CC4FA58" w14:textId="14080727" w:rsidR="004379B7" w:rsidRDefault="008E420E" w:rsidP="009D32DC">
            <w:pPr>
              <w:jc w:val="both"/>
              <w:rPr>
                <w:rFonts w:ascii="Times New Roman" w:hAnsi="Times New Roman" w:cs="Times New Roman"/>
                <w:sz w:val="24"/>
                <w:szCs w:val="24"/>
              </w:rPr>
            </w:pPr>
            <w:r>
              <w:rPr>
                <w:rFonts w:ascii="Times New Roman" w:hAnsi="Times New Roman" w:cs="Times New Roman"/>
                <w:sz w:val="24"/>
                <w:szCs w:val="24"/>
              </w:rPr>
              <w:t>W</w:t>
            </w:r>
            <w:r w:rsidR="004379B7">
              <w:rPr>
                <w:rFonts w:ascii="Times New Roman" w:hAnsi="Times New Roman" w:cs="Times New Roman"/>
                <w:sz w:val="24"/>
                <w:szCs w:val="24"/>
              </w:rPr>
              <w:t>P</w:t>
            </w:r>
          </w:p>
        </w:tc>
        <w:tc>
          <w:tcPr>
            <w:tcW w:w="2150" w:type="dxa"/>
          </w:tcPr>
          <w:p w14:paraId="74BACE6A" w14:textId="38C87234"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WP</m:t>
                    </m:r>
                  </m:sub>
                </m:sSub>
              </m:oMath>
            </m:oMathPara>
          </w:p>
        </w:tc>
        <w:tc>
          <w:tcPr>
            <w:tcW w:w="1920" w:type="dxa"/>
          </w:tcPr>
          <w:p w14:paraId="1BC4D225" w14:textId="1387EE96" w:rsidR="00B3188F" w:rsidRDefault="004379B7" w:rsidP="009D32DC">
            <w:pPr>
              <w:jc w:val="both"/>
              <w:rPr>
                <w:rFonts w:ascii="Times New Roman" w:hAnsi="Times New Roman" w:cs="Times New Roman"/>
                <w:sz w:val="24"/>
                <w:szCs w:val="24"/>
              </w:rPr>
            </w:pPr>
            <w:r>
              <w:rPr>
                <w:rFonts w:ascii="Times New Roman" w:hAnsi="Times New Roman" w:cs="Times New Roman"/>
                <w:sz w:val="24"/>
                <w:szCs w:val="24"/>
              </w:rPr>
              <w:t>0.14</w:t>
            </w:r>
          </w:p>
        </w:tc>
      </w:tr>
      <w:tr w:rsidR="004379B7" w14:paraId="1E34A095" w14:textId="77777777" w:rsidTr="004379B7">
        <w:trPr>
          <w:jc w:val="center"/>
        </w:trPr>
        <w:tc>
          <w:tcPr>
            <w:tcW w:w="0" w:type="auto"/>
          </w:tcPr>
          <w:p w14:paraId="72A29981"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Drum bearing</w:t>
            </w:r>
          </w:p>
        </w:tc>
        <w:tc>
          <w:tcPr>
            <w:tcW w:w="0" w:type="auto"/>
          </w:tcPr>
          <w:p w14:paraId="62E7D47C" w14:textId="129AA281"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B</w:t>
            </w:r>
          </w:p>
        </w:tc>
        <w:tc>
          <w:tcPr>
            <w:tcW w:w="2150" w:type="dxa"/>
          </w:tcPr>
          <w:p w14:paraId="00E59097" w14:textId="5D9E61A4"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DBe</m:t>
                    </m:r>
                  </m:sub>
                </m:sSub>
              </m:oMath>
            </m:oMathPara>
          </w:p>
        </w:tc>
        <w:tc>
          <w:tcPr>
            <w:tcW w:w="1920" w:type="dxa"/>
          </w:tcPr>
          <w:p w14:paraId="72CF852A" w14:textId="2B857201"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0.0</w:t>
            </w:r>
            <w:r w:rsidR="00B3188F">
              <w:rPr>
                <w:rFonts w:ascii="Times New Roman" w:hAnsi="Times New Roman" w:cs="Times New Roman"/>
                <w:sz w:val="24"/>
                <w:szCs w:val="24"/>
              </w:rPr>
              <w:t>9</w:t>
            </w:r>
          </w:p>
        </w:tc>
      </w:tr>
      <w:tr w:rsidR="004379B7" w14:paraId="41226ABC" w14:textId="77777777" w:rsidTr="004379B7">
        <w:trPr>
          <w:jc w:val="center"/>
        </w:trPr>
        <w:tc>
          <w:tcPr>
            <w:tcW w:w="0" w:type="auto"/>
          </w:tcPr>
          <w:p w14:paraId="64014593"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Drum belt</w:t>
            </w:r>
          </w:p>
        </w:tc>
        <w:tc>
          <w:tcPr>
            <w:tcW w:w="0" w:type="auto"/>
          </w:tcPr>
          <w:p w14:paraId="1FD70341"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DB</w:t>
            </w:r>
          </w:p>
        </w:tc>
        <w:tc>
          <w:tcPr>
            <w:tcW w:w="2150" w:type="dxa"/>
          </w:tcPr>
          <w:p w14:paraId="545149EC" w14:textId="24B9F70B"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DB</m:t>
                    </m:r>
                  </m:sub>
                </m:sSub>
              </m:oMath>
            </m:oMathPara>
          </w:p>
        </w:tc>
        <w:tc>
          <w:tcPr>
            <w:tcW w:w="1920" w:type="dxa"/>
          </w:tcPr>
          <w:p w14:paraId="16A488D7" w14:textId="1BDADD46"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0.25</w:t>
            </w:r>
          </w:p>
        </w:tc>
      </w:tr>
      <w:tr w:rsidR="004379B7" w14:paraId="523F735C" w14:textId="77777777" w:rsidTr="004379B7">
        <w:trPr>
          <w:jc w:val="center"/>
        </w:trPr>
        <w:tc>
          <w:tcPr>
            <w:tcW w:w="0" w:type="auto"/>
          </w:tcPr>
          <w:p w14:paraId="606584D6"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Door</w:t>
            </w:r>
          </w:p>
        </w:tc>
        <w:tc>
          <w:tcPr>
            <w:tcW w:w="0" w:type="auto"/>
          </w:tcPr>
          <w:p w14:paraId="31A5FE14"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D</w:t>
            </w:r>
          </w:p>
        </w:tc>
        <w:tc>
          <w:tcPr>
            <w:tcW w:w="2150" w:type="dxa"/>
          </w:tcPr>
          <w:p w14:paraId="53E522E2" w14:textId="56090C21"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D</m:t>
                    </m:r>
                  </m:sub>
                </m:sSub>
              </m:oMath>
            </m:oMathPara>
          </w:p>
        </w:tc>
        <w:tc>
          <w:tcPr>
            <w:tcW w:w="1920" w:type="dxa"/>
          </w:tcPr>
          <w:p w14:paraId="4811142A" w14:textId="068A143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0.0</w:t>
            </w:r>
            <w:r w:rsidR="00B3188F">
              <w:rPr>
                <w:rFonts w:ascii="Times New Roman" w:hAnsi="Times New Roman" w:cs="Times New Roman"/>
                <w:sz w:val="24"/>
                <w:szCs w:val="24"/>
              </w:rPr>
              <w:t>8</w:t>
            </w:r>
          </w:p>
        </w:tc>
      </w:tr>
      <w:tr w:rsidR="004379B7" w14:paraId="5D156CA9" w14:textId="77777777" w:rsidTr="004379B7">
        <w:trPr>
          <w:jc w:val="center"/>
        </w:trPr>
        <w:tc>
          <w:tcPr>
            <w:tcW w:w="0" w:type="auto"/>
          </w:tcPr>
          <w:p w14:paraId="67398409"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Motor</w:t>
            </w:r>
          </w:p>
        </w:tc>
        <w:tc>
          <w:tcPr>
            <w:tcW w:w="0" w:type="auto"/>
          </w:tcPr>
          <w:p w14:paraId="248B3187"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M</w:t>
            </w:r>
          </w:p>
        </w:tc>
        <w:tc>
          <w:tcPr>
            <w:tcW w:w="2150" w:type="dxa"/>
          </w:tcPr>
          <w:p w14:paraId="555FEDAA" w14:textId="0CAC176F"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M</m:t>
                    </m:r>
                  </m:sub>
                </m:sSub>
              </m:oMath>
            </m:oMathPara>
          </w:p>
        </w:tc>
        <w:tc>
          <w:tcPr>
            <w:tcW w:w="1920" w:type="dxa"/>
          </w:tcPr>
          <w:p w14:paraId="0AF7BCDF" w14:textId="745FCC8F"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0.0</w:t>
            </w:r>
            <w:r w:rsidR="00B3188F">
              <w:rPr>
                <w:rFonts w:ascii="Times New Roman" w:hAnsi="Times New Roman" w:cs="Times New Roman"/>
                <w:sz w:val="24"/>
                <w:szCs w:val="24"/>
              </w:rPr>
              <w:t>5</w:t>
            </w:r>
          </w:p>
        </w:tc>
      </w:tr>
      <w:tr w:rsidR="004379B7" w14:paraId="4300EF73" w14:textId="77777777" w:rsidTr="004379B7">
        <w:trPr>
          <w:jc w:val="center"/>
        </w:trPr>
        <w:tc>
          <w:tcPr>
            <w:tcW w:w="0" w:type="auto"/>
          </w:tcPr>
          <w:p w14:paraId="19F66B56"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Main electronic board</w:t>
            </w:r>
          </w:p>
        </w:tc>
        <w:tc>
          <w:tcPr>
            <w:tcW w:w="0" w:type="auto"/>
          </w:tcPr>
          <w:p w14:paraId="1D8070DA" w14:textId="35FF858E"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MB</w:t>
            </w:r>
          </w:p>
        </w:tc>
        <w:tc>
          <w:tcPr>
            <w:tcW w:w="2150" w:type="dxa"/>
          </w:tcPr>
          <w:p w14:paraId="577DA64D" w14:textId="792D08F4"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MEB</m:t>
                    </m:r>
                  </m:sub>
                </m:sSub>
              </m:oMath>
            </m:oMathPara>
          </w:p>
        </w:tc>
        <w:tc>
          <w:tcPr>
            <w:tcW w:w="1920" w:type="dxa"/>
          </w:tcPr>
          <w:p w14:paraId="63760DEC" w14:textId="4F2B1FA0"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0.2</w:t>
            </w:r>
            <w:r w:rsidR="00B3188F">
              <w:rPr>
                <w:rFonts w:ascii="Times New Roman" w:hAnsi="Times New Roman" w:cs="Times New Roman"/>
                <w:sz w:val="24"/>
                <w:szCs w:val="24"/>
              </w:rPr>
              <w:t>8</w:t>
            </w:r>
          </w:p>
        </w:tc>
      </w:tr>
      <w:tr w:rsidR="004379B7" w14:paraId="75573D2C" w14:textId="77777777" w:rsidTr="004379B7">
        <w:trPr>
          <w:jc w:val="center"/>
        </w:trPr>
        <w:tc>
          <w:tcPr>
            <w:tcW w:w="0" w:type="auto"/>
          </w:tcPr>
          <w:p w14:paraId="15EEEB04"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Fan</w:t>
            </w:r>
          </w:p>
        </w:tc>
        <w:tc>
          <w:tcPr>
            <w:tcW w:w="0" w:type="auto"/>
          </w:tcPr>
          <w:p w14:paraId="09BAC2EF" w14:textId="77777777"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F</w:t>
            </w:r>
          </w:p>
        </w:tc>
        <w:tc>
          <w:tcPr>
            <w:tcW w:w="2150" w:type="dxa"/>
          </w:tcPr>
          <w:p w14:paraId="644DA36F" w14:textId="7E66743E"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F</m:t>
                    </m:r>
                  </m:sub>
                </m:sSub>
              </m:oMath>
            </m:oMathPara>
          </w:p>
        </w:tc>
        <w:tc>
          <w:tcPr>
            <w:tcW w:w="1920" w:type="dxa"/>
          </w:tcPr>
          <w:p w14:paraId="5CD5136E" w14:textId="69FC3844"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0.0</w:t>
            </w:r>
            <w:r w:rsidR="00B3188F">
              <w:rPr>
                <w:rFonts w:ascii="Times New Roman" w:hAnsi="Times New Roman" w:cs="Times New Roman"/>
                <w:sz w:val="24"/>
                <w:szCs w:val="24"/>
              </w:rPr>
              <w:t>5</w:t>
            </w:r>
          </w:p>
        </w:tc>
      </w:tr>
      <w:tr w:rsidR="004379B7" w14:paraId="4D8E0BCC" w14:textId="77777777" w:rsidTr="004379B7">
        <w:trPr>
          <w:jc w:val="center"/>
        </w:trPr>
        <w:tc>
          <w:tcPr>
            <w:tcW w:w="0" w:type="auto"/>
          </w:tcPr>
          <w:p w14:paraId="2ED2B580" w14:textId="5A65CFF9"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Motor capacitor</w:t>
            </w:r>
          </w:p>
        </w:tc>
        <w:tc>
          <w:tcPr>
            <w:tcW w:w="0" w:type="auto"/>
          </w:tcPr>
          <w:p w14:paraId="6489B45B" w14:textId="5158E569" w:rsidR="004379B7" w:rsidRDefault="008E420E" w:rsidP="009D32DC">
            <w:pPr>
              <w:jc w:val="both"/>
              <w:rPr>
                <w:rFonts w:ascii="Times New Roman" w:hAnsi="Times New Roman" w:cs="Times New Roman"/>
                <w:sz w:val="24"/>
                <w:szCs w:val="24"/>
              </w:rPr>
            </w:pPr>
            <w:r>
              <w:rPr>
                <w:rFonts w:ascii="Times New Roman" w:hAnsi="Times New Roman" w:cs="Times New Roman"/>
                <w:sz w:val="24"/>
                <w:szCs w:val="24"/>
              </w:rPr>
              <w:t>M</w:t>
            </w:r>
            <w:r w:rsidR="004379B7">
              <w:rPr>
                <w:rFonts w:ascii="Times New Roman" w:hAnsi="Times New Roman" w:cs="Times New Roman"/>
                <w:sz w:val="24"/>
                <w:szCs w:val="24"/>
              </w:rPr>
              <w:t>C</w:t>
            </w:r>
          </w:p>
        </w:tc>
        <w:tc>
          <w:tcPr>
            <w:tcW w:w="2150" w:type="dxa"/>
          </w:tcPr>
          <w:p w14:paraId="08DE317F" w14:textId="700E57C9" w:rsidR="004379B7" w:rsidRDefault="00037509" w:rsidP="009D32DC">
            <w:pPr>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α</m:t>
                    </m:r>
                  </m:e>
                  <m:sub>
                    <m:r>
                      <w:rPr>
                        <w:rFonts w:ascii="Cambria Math" w:hAnsi="Cambria Math"/>
                      </w:rPr>
                      <m:t>MC</m:t>
                    </m:r>
                  </m:sub>
                </m:sSub>
              </m:oMath>
            </m:oMathPara>
          </w:p>
        </w:tc>
        <w:tc>
          <w:tcPr>
            <w:tcW w:w="1920" w:type="dxa"/>
          </w:tcPr>
          <w:p w14:paraId="11D9047E" w14:textId="158C9B71" w:rsidR="004379B7" w:rsidRDefault="004379B7" w:rsidP="009D32DC">
            <w:pPr>
              <w:jc w:val="both"/>
              <w:rPr>
                <w:rFonts w:ascii="Times New Roman" w:hAnsi="Times New Roman" w:cs="Times New Roman"/>
                <w:sz w:val="24"/>
                <w:szCs w:val="24"/>
              </w:rPr>
            </w:pPr>
            <w:r>
              <w:rPr>
                <w:rFonts w:ascii="Times New Roman" w:hAnsi="Times New Roman" w:cs="Times New Roman"/>
                <w:sz w:val="24"/>
                <w:szCs w:val="24"/>
              </w:rPr>
              <w:t>0.06</w:t>
            </w:r>
          </w:p>
        </w:tc>
      </w:tr>
    </w:tbl>
    <w:p w14:paraId="0378CA74" w14:textId="349DB319" w:rsidR="00A00A5F" w:rsidRPr="00A00A5F" w:rsidRDefault="00762615" w:rsidP="00A00A5F">
      <w:pPr>
        <w:jc w:val="center"/>
        <w:rPr>
          <w:rFonts w:ascii="Times New Roman" w:hAnsi="Times New Roman" w:cs="Times New Roman"/>
          <w:i/>
          <w:sz w:val="20"/>
          <w:szCs w:val="20"/>
        </w:rPr>
      </w:pPr>
      <w:r>
        <w:rPr>
          <w:rFonts w:ascii="Times New Roman" w:hAnsi="Times New Roman" w:cs="Times New Roman"/>
          <w:i/>
          <w:sz w:val="20"/>
          <w:szCs w:val="20"/>
        </w:rPr>
        <w:t>Table 1</w:t>
      </w:r>
      <w:r w:rsidRPr="001A3E84">
        <w:rPr>
          <w:rFonts w:ascii="Times New Roman" w:hAnsi="Times New Roman" w:cs="Times New Roman"/>
          <w:i/>
          <w:sz w:val="20"/>
          <w:szCs w:val="20"/>
        </w:rPr>
        <w:t xml:space="preserve">. </w:t>
      </w:r>
      <w:r>
        <w:rPr>
          <w:rFonts w:ascii="Times New Roman" w:hAnsi="Times New Roman" w:cs="Times New Roman"/>
          <w:i/>
          <w:sz w:val="20"/>
          <w:szCs w:val="20"/>
        </w:rPr>
        <w:t>Priority parts and weighing factors</w:t>
      </w:r>
    </w:p>
    <w:p w14:paraId="60F20DF2" w14:textId="3267A9A2" w:rsidR="00B4612E" w:rsidRDefault="0094365C" w:rsidP="00B4612E">
      <w:pPr>
        <w:jc w:val="both"/>
        <w:rPr>
          <w:rFonts w:ascii="Times New Roman" w:hAnsi="Times New Roman" w:cs="Times New Roman"/>
          <w:sz w:val="24"/>
          <w:szCs w:val="24"/>
        </w:rPr>
      </w:pPr>
      <w:r>
        <w:rPr>
          <w:rFonts w:ascii="Times New Roman" w:hAnsi="Times New Roman" w:cs="Times New Roman"/>
          <w:sz w:val="24"/>
          <w:szCs w:val="24"/>
        </w:rPr>
        <w:t>P</w:t>
      </w:r>
      <w:r w:rsidR="00B4612E">
        <w:rPr>
          <w:rFonts w:ascii="Times New Roman" w:hAnsi="Times New Roman" w:cs="Times New Roman"/>
          <w:sz w:val="24"/>
          <w:szCs w:val="24"/>
        </w:rPr>
        <w:t>riority parts and</w:t>
      </w:r>
      <w:r w:rsidR="00F07A01">
        <w:rPr>
          <w:rFonts w:ascii="Times New Roman" w:hAnsi="Times New Roman" w:cs="Times New Roman"/>
          <w:sz w:val="24"/>
          <w:szCs w:val="24"/>
        </w:rPr>
        <w:t xml:space="preserve"> their respective</w:t>
      </w:r>
      <w:r w:rsidR="00B4612E">
        <w:rPr>
          <w:rFonts w:ascii="Times New Roman" w:hAnsi="Times New Roman" w:cs="Times New Roman"/>
          <w:sz w:val="24"/>
          <w:szCs w:val="24"/>
        </w:rPr>
        <w:t xml:space="preserve"> weighing factors </w:t>
      </w:r>
      <w:r w:rsidR="00CB04B5">
        <w:rPr>
          <w:rFonts w:ascii="Times New Roman" w:hAnsi="Times New Roman" w:cs="Times New Roman"/>
          <w:sz w:val="24"/>
          <w:szCs w:val="24"/>
        </w:rPr>
        <w:t>are</w:t>
      </w:r>
      <w:r w:rsidR="00B4612E">
        <w:rPr>
          <w:rFonts w:ascii="Times New Roman" w:hAnsi="Times New Roman" w:cs="Times New Roman"/>
          <w:sz w:val="24"/>
          <w:szCs w:val="24"/>
        </w:rPr>
        <w:t xml:space="preserve"> based on </w:t>
      </w:r>
      <w:r w:rsidR="0008427A">
        <w:rPr>
          <w:rFonts w:ascii="Times New Roman" w:hAnsi="Times New Roman" w:cs="Times New Roman"/>
          <w:sz w:val="24"/>
          <w:szCs w:val="24"/>
        </w:rPr>
        <w:t xml:space="preserve">a list </w:t>
      </w:r>
      <w:r w:rsidR="00727349">
        <w:rPr>
          <w:rFonts w:ascii="Times New Roman" w:hAnsi="Times New Roman" w:cs="Times New Roman"/>
          <w:sz w:val="24"/>
          <w:szCs w:val="24"/>
        </w:rPr>
        <w:t>submitted</w:t>
      </w:r>
      <w:r w:rsidR="0008427A">
        <w:rPr>
          <w:rFonts w:ascii="Times New Roman" w:hAnsi="Times New Roman" w:cs="Times New Roman"/>
          <w:sz w:val="24"/>
          <w:szCs w:val="24"/>
        </w:rPr>
        <w:t xml:space="preserve"> by</w:t>
      </w:r>
      <w:r w:rsidR="00B4612E">
        <w:rPr>
          <w:rFonts w:ascii="Times New Roman" w:hAnsi="Times New Roman" w:cs="Times New Roman"/>
          <w:sz w:val="24"/>
          <w:szCs w:val="24"/>
        </w:rPr>
        <w:t xml:space="preserve"> APPLiA</w:t>
      </w:r>
      <w:r w:rsidR="00CB04B5">
        <w:rPr>
          <w:rFonts w:ascii="Times New Roman" w:hAnsi="Times New Roman" w:cs="Times New Roman"/>
          <w:sz w:val="24"/>
          <w:szCs w:val="24"/>
        </w:rPr>
        <w:t xml:space="preserve">, </w:t>
      </w:r>
      <w:r w:rsidR="00A35308">
        <w:rPr>
          <w:rFonts w:ascii="Times New Roman" w:hAnsi="Times New Roman" w:cs="Times New Roman"/>
          <w:sz w:val="24"/>
          <w:szCs w:val="24"/>
        </w:rPr>
        <w:t>later</w:t>
      </w:r>
      <w:r w:rsidR="00727349">
        <w:rPr>
          <w:rFonts w:ascii="Times New Roman" w:hAnsi="Times New Roman" w:cs="Times New Roman"/>
          <w:sz w:val="24"/>
          <w:szCs w:val="24"/>
        </w:rPr>
        <w:t xml:space="preserve"> </w:t>
      </w:r>
      <w:r w:rsidR="00A35308">
        <w:rPr>
          <w:rFonts w:ascii="Times New Roman" w:hAnsi="Times New Roman" w:cs="Times New Roman"/>
          <w:sz w:val="24"/>
          <w:szCs w:val="24"/>
        </w:rPr>
        <w:t>modified</w:t>
      </w:r>
      <w:r w:rsidR="00CB04B5">
        <w:rPr>
          <w:rFonts w:ascii="Times New Roman" w:hAnsi="Times New Roman" w:cs="Times New Roman"/>
          <w:sz w:val="24"/>
          <w:szCs w:val="24"/>
        </w:rPr>
        <w:t xml:space="preserve"> after discussion </w:t>
      </w:r>
      <w:r w:rsidR="00A35308">
        <w:rPr>
          <w:rFonts w:ascii="Times New Roman" w:hAnsi="Times New Roman" w:cs="Times New Roman"/>
          <w:sz w:val="24"/>
          <w:szCs w:val="24"/>
        </w:rPr>
        <w:t xml:space="preserve">with stakeholders </w:t>
      </w:r>
      <w:r w:rsidR="00B4612E">
        <w:rPr>
          <w:rFonts w:ascii="Times New Roman" w:hAnsi="Times New Roman" w:cs="Times New Roman"/>
          <w:sz w:val="24"/>
          <w:szCs w:val="24"/>
        </w:rPr>
        <w:t xml:space="preserve">in the Consultation Forum on 11 March 2024. </w:t>
      </w:r>
      <w:r w:rsidR="00A35308">
        <w:rPr>
          <w:rFonts w:ascii="Times New Roman" w:hAnsi="Times New Roman" w:cs="Times New Roman"/>
          <w:sz w:val="24"/>
          <w:szCs w:val="24"/>
        </w:rPr>
        <w:t>T</w:t>
      </w:r>
      <w:r w:rsidR="0008427A">
        <w:rPr>
          <w:rFonts w:ascii="Times New Roman" w:hAnsi="Times New Roman" w:cs="Times New Roman"/>
          <w:sz w:val="24"/>
          <w:szCs w:val="24"/>
        </w:rPr>
        <w:t>he list</w:t>
      </w:r>
      <w:r w:rsidR="00B4612E">
        <w:rPr>
          <w:rFonts w:ascii="Times New Roman" w:hAnsi="Times New Roman" w:cs="Times New Roman"/>
          <w:sz w:val="24"/>
          <w:szCs w:val="24"/>
        </w:rPr>
        <w:t xml:space="preserve"> </w:t>
      </w:r>
      <w:r w:rsidR="00A35308">
        <w:rPr>
          <w:rFonts w:ascii="Times New Roman" w:hAnsi="Times New Roman" w:cs="Times New Roman"/>
          <w:sz w:val="24"/>
          <w:szCs w:val="24"/>
        </w:rPr>
        <w:t xml:space="preserve">is the result of </w:t>
      </w:r>
      <w:r w:rsidR="00727349">
        <w:rPr>
          <w:rFonts w:ascii="Times New Roman" w:hAnsi="Times New Roman" w:cs="Times New Roman"/>
          <w:sz w:val="24"/>
          <w:szCs w:val="24"/>
        </w:rPr>
        <w:t>an</w:t>
      </w:r>
      <w:r w:rsidR="0008427A">
        <w:rPr>
          <w:rFonts w:ascii="Times New Roman" w:hAnsi="Times New Roman" w:cs="Times New Roman"/>
          <w:sz w:val="24"/>
          <w:szCs w:val="24"/>
        </w:rPr>
        <w:t xml:space="preserve"> </w:t>
      </w:r>
      <w:r w:rsidR="00B4612E">
        <w:rPr>
          <w:rFonts w:ascii="Times New Roman" w:hAnsi="Times New Roman" w:cs="Times New Roman"/>
          <w:sz w:val="24"/>
          <w:szCs w:val="24"/>
        </w:rPr>
        <w:t xml:space="preserve">intensive </w:t>
      </w:r>
      <w:r w:rsidR="00727349">
        <w:rPr>
          <w:rFonts w:ascii="Times New Roman" w:hAnsi="Times New Roman" w:cs="Times New Roman"/>
          <w:sz w:val="24"/>
          <w:szCs w:val="24"/>
        </w:rPr>
        <w:t xml:space="preserve">consultation and </w:t>
      </w:r>
      <w:r>
        <w:rPr>
          <w:rFonts w:ascii="Times New Roman" w:hAnsi="Times New Roman" w:cs="Times New Roman"/>
          <w:sz w:val="24"/>
          <w:szCs w:val="24"/>
        </w:rPr>
        <w:t>data collection</w:t>
      </w:r>
      <w:r w:rsidR="00B4612E">
        <w:rPr>
          <w:rFonts w:ascii="Times New Roman" w:hAnsi="Times New Roman" w:cs="Times New Roman"/>
          <w:sz w:val="24"/>
          <w:szCs w:val="24"/>
        </w:rPr>
        <w:t xml:space="preserve"> exercise among </w:t>
      </w:r>
      <w:r w:rsidR="00A35308">
        <w:rPr>
          <w:rFonts w:ascii="Times New Roman" w:hAnsi="Times New Roman" w:cs="Times New Roman"/>
          <w:sz w:val="24"/>
          <w:szCs w:val="24"/>
        </w:rPr>
        <w:t>APPLiA</w:t>
      </w:r>
      <w:r w:rsidR="00B4612E">
        <w:rPr>
          <w:rFonts w:ascii="Times New Roman" w:hAnsi="Times New Roman" w:cs="Times New Roman"/>
          <w:sz w:val="24"/>
          <w:szCs w:val="24"/>
        </w:rPr>
        <w:t xml:space="preserve"> members</w:t>
      </w:r>
      <w:r w:rsidR="00A35308">
        <w:rPr>
          <w:rFonts w:ascii="Times New Roman" w:hAnsi="Times New Roman" w:cs="Times New Roman"/>
          <w:sz w:val="24"/>
          <w:szCs w:val="24"/>
        </w:rPr>
        <w:t>. W</w:t>
      </w:r>
      <w:r w:rsidR="009478E7">
        <w:rPr>
          <w:rFonts w:ascii="Times New Roman" w:hAnsi="Times New Roman" w:cs="Times New Roman"/>
          <w:sz w:val="24"/>
          <w:szCs w:val="24"/>
        </w:rPr>
        <w:t>eighing factors</w:t>
      </w:r>
      <w:r w:rsidR="00A35308">
        <w:rPr>
          <w:rFonts w:ascii="Times New Roman" w:hAnsi="Times New Roman" w:cs="Times New Roman"/>
          <w:sz w:val="24"/>
          <w:szCs w:val="24"/>
        </w:rPr>
        <w:t xml:space="preserve"> </w:t>
      </w:r>
      <w:r w:rsidR="00F07A01">
        <w:rPr>
          <w:rFonts w:ascii="Times New Roman" w:hAnsi="Times New Roman" w:cs="Times New Roman"/>
          <w:sz w:val="24"/>
          <w:szCs w:val="24"/>
        </w:rPr>
        <w:t xml:space="preserve">for each priority part </w:t>
      </w:r>
      <w:r w:rsidR="00727349">
        <w:rPr>
          <w:rFonts w:ascii="Times New Roman" w:hAnsi="Times New Roman" w:cs="Times New Roman"/>
          <w:sz w:val="24"/>
          <w:szCs w:val="24"/>
        </w:rPr>
        <w:t xml:space="preserve">were set </w:t>
      </w:r>
      <w:r w:rsidR="00DB0AC9">
        <w:rPr>
          <w:rFonts w:ascii="Times New Roman" w:hAnsi="Times New Roman" w:cs="Times New Roman"/>
          <w:sz w:val="24"/>
          <w:szCs w:val="24"/>
        </w:rPr>
        <w:t xml:space="preserve">according to </w:t>
      </w:r>
      <w:r w:rsidR="00F07A01">
        <w:rPr>
          <w:rFonts w:ascii="Times New Roman" w:hAnsi="Times New Roman" w:cs="Times New Roman"/>
          <w:sz w:val="24"/>
          <w:szCs w:val="24"/>
        </w:rPr>
        <w:t xml:space="preserve">two criteria: </w:t>
      </w:r>
      <w:r w:rsidR="00DB0AC9">
        <w:rPr>
          <w:rFonts w:ascii="Times New Roman" w:hAnsi="Times New Roman" w:cs="Times New Roman"/>
          <w:sz w:val="24"/>
          <w:szCs w:val="24"/>
        </w:rPr>
        <w:t xml:space="preserve">the likelihood of failure </w:t>
      </w:r>
      <w:r w:rsidR="00290617">
        <w:rPr>
          <w:rFonts w:ascii="Times New Roman" w:hAnsi="Times New Roman" w:cs="Times New Roman"/>
          <w:sz w:val="24"/>
          <w:szCs w:val="24"/>
        </w:rPr>
        <w:t xml:space="preserve">and </w:t>
      </w:r>
      <w:r w:rsidR="00F07A01">
        <w:rPr>
          <w:rFonts w:ascii="Times New Roman" w:hAnsi="Times New Roman" w:cs="Times New Roman"/>
          <w:sz w:val="24"/>
          <w:szCs w:val="24"/>
        </w:rPr>
        <w:t xml:space="preserve">the </w:t>
      </w:r>
      <w:r w:rsidR="00290617">
        <w:rPr>
          <w:rFonts w:ascii="Times New Roman" w:hAnsi="Times New Roman" w:cs="Times New Roman"/>
          <w:sz w:val="24"/>
          <w:szCs w:val="24"/>
        </w:rPr>
        <w:t>sales volume</w:t>
      </w:r>
      <w:r w:rsidR="00727349">
        <w:rPr>
          <w:rFonts w:ascii="Times New Roman" w:hAnsi="Times New Roman" w:cs="Times New Roman"/>
          <w:sz w:val="24"/>
          <w:szCs w:val="24"/>
        </w:rPr>
        <w:t>, as declared by the manufacturers participating in the exercise</w:t>
      </w:r>
      <w:r w:rsidR="00DB0AC9">
        <w:rPr>
          <w:rFonts w:ascii="Times New Roman" w:hAnsi="Times New Roman" w:cs="Times New Roman"/>
          <w:sz w:val="24"/>
          <w:szCs w:val="24"/>
        </w:rPr>
        <w:t xml:space="preserve">. </w:t>
      </w:r>
      <w:r w:rsidR="00727349">
        <w:rPr>
          <w:rFonts w:ascii="Times New Roman" w:hAnsi="Times New Roman" w:cs="Times New Roman"/>
          <w:sz w:val="24"/>
          <w:szCs w:val="24"/>
        </w:rPr>
        <w:t>R</w:t>
      </w:r>
      <w:r w:rsidR="0008427A">
        <w:rPr>
          <w:rFonts w:ascii="Times New Roman" w:hAnsi="Times New Roman" w:cs="Times New Roman"/>
          <w:sz w:val="24"/>
          <w:szCs w:val="24"/>
        </w:rPr>
        <w:t>elevant literature, already mentioned</w:t>
      </w:r>
      <w:r w:rsidR="00A35308">
        <w:rPr>
          <w:rFonts w:ascii="Times New Roman" w:hAnsi="Times New Roman" w:cs="Times New Roman"/>
          <w:sz w:val="24"/>
          <w:szCs w:val="24"/>
        </w:rPr>
        <w:t xml:space="preserve"> in this document</w:t>
      </w:r>
      <w:r w:rsidR="0008427A">
        <w:rPr>
          <w:rFonts w:ascii="Times New Roman" w:hAnsi="Times New Roman" w:cs="Times New Roman"/>
          <w:sz w:val="24"/>
          <w:szCs w:val="24"/>
        </w:rPr>
        <w:t xml:space="preserve">, </w:t>
      </w:r>
      <w:r w:rsidR="00DB0AC9">
        <w:rPr>
          <w:rFonts w:ascii="Times New Roman" w:hAnsi="Times New Roman" w:cs="Times New Roman"/>
          <w:sz w:val="24"/>
          <w:szCs w:val="24"/>
        </w:rPr>
        <w:t>suggest</w:t>
      </w:r>
      <w:r w:rsidR="0008427A">
        <w:rPr>
          <w:rFonts w:ascii="Times New Roman" w:hAnsi="Times New Roman" w:cs="Times New Roman"/>
          <w:sz w:val="24"/>
          <w:szCs w:val="24"/>
        </w:rPr>
        <w:t>s</w:t>
      </w:r>
      <w:r w:rsidR="00DB0AC9">
        <w:rPr>
          <w:rFonts w:ascii="Times New Roman" w:hAnsi="Times New Roman" w:cs="Times New Roman"/>
          <w:sz w:val="24"/>
          <w:szCs w:val="24"/>
        </w:rPr>
        <w:t xml:space="preserve"> </w:t>
      </w:r>
      <w:r w:rsidR="00290617">
        <w:rPr>
          <w:rFonts w:ascii="Times New Roman" w:hAnsi="Times New Roman" w:cs="Times New Roman"/>
          <w:sz w:val="24"/>
          <w:szCs w:val="24"/>
        </w:rPr>
        <w:t xml:space="preserve">also considering </w:t>
      </w:r>
      <w:r w:rsidR="00DB0AC9">
        <w:rPr>
          <w:rFonts w:ascii="Times New Roman" w:hAnsi="Times New Roman" w:cs="Times New Roman"/>
          <w:sz w:val="24"/>
          <w:szCs w:val="24"/>
        </w:rPr>
        <w:t xml:space="preserve">the functional </w:t>
      </w:r>
      <w:r w:rsidR="00087B8A">
        <w:rPr>
          <w:rFonts w:ascii="Times New Roman" w:hAnsi="Times New Roman" w:cs="Times New Roman"/>
          <w:sz w:val="24"/>
          <w:szCs w:val="24"/>
        </w:rPr>
        <w:t>relevance</w:t>
      </w:r>
      <w:r w:rsidR="00DB0AC9">
        <w:rPr>
          <w:rFonts w:ascii="Times New Roman" w:hAnsi="Times New Roman" w:cs="Times New Roman"/>
          <w:sz w:val="24"/>
          <w:szCs w:val="24"/>
        </w:rPr>
        <w:t xml:space="preserve"> of a spare part </w:t>
      </w:r>
      <w:r w:rsidR="00F07A01">
        <w:rPr>
          <w:rFonts w:ascii="Times New Roman" w:hAnsi="Times New Roman" w:cs="Times New Roman"/>
          <w:sz w:val="24"/>
          <w:szCs w:val="24"/>
        </w:rPr>
        <w:t>as a criterion to set</w:t>
      </w:r>
      <w:r w:rsidR="00087B8A">
        <w:rPr>
          <w:rFonts w:ascii="Times New Roman" w:hAnsi="Times New Roman" w:cs="Times New Roman"/>
          <w:sz w:val="24"/>
          <w:szCs w:val="24"/>
        </w:rPr>
        <w:t xml:space="preserve"> </w:t>
      </w:r>
      <w:r w:rsidR="00DB0AC9">
        <w:rPr>
          <w:rFonts w:ascii="Times New Roman" w:hAnsi="Times New Roman" w:cs="Times New Roman"/>
          <w:sz w:val="24"/>
          <w:szCs w:val="24"/>
        </w:rPr>
        <w:t>weighing</w:t>
      </w:r>
      <w:r w:rsidR="00087B8A">
        <w:rPr>
          <w:rFonts w:ascii="Times New Roman" w:hAnsi="Times New Roman" w:cs="Times New Roman"/>
          <w:sz w:val="24"/>
          <w:szCs w:val="24"/>
        </w:rPr>
        <w:t xml:space="preserve"> factor</w:t>
      </w:r>
      <w:r w:rsidR="0008427A">
        <w:rPr>
          <w:rFonts w:ascii="Times New Roman" w:hAnsi="Times New Roman" w:cs="Times New Roman"/>
          <w:sz w:val="24"/>
          <w:szCs w:val="24"/>
        </w:rPr>
        <w:t>s</w:t>
      </w:r>
      <w:r w:rsidR="00727349">
        <w:rPr>
          <w:rFonts w:ascii="Times New Roman" w:hAnsi="Times New Roman" w:cs="Times New Roman"/>
          <w:sz w:val="24"/>
          <w:szCs w:val="24"/>
        </w:rPr>
        <w:t>. However</w:t>
      </w:r>
      <w:r w:rsidR="00087B8A">
        <w:rPr>
          <w:rFonts w:ascii="Times New Roman" w:hAnsi="Times New Roman" w:cs="Times New Roman"/>
          <w:sz w:val="24"/>
          <w:szCs w:val="24"/>
        </w:rPr>
        <w:t xml:space="preserve">, all </w:t>
      </w:r>
      <w:r w:rsidR="00087B8A">
        <w:rPr>
          <w:rFonts w:ascii="Times New Roman" w:hAnsi="Times New Roman" w:cs="Times New Roman"/>
          <w:sz w:val="24"/>
          <w:szCs w:val="24"/>
        </w:rPr>
        <w:lastRenderedPageBreak/>
        <w:t xml:space="preserve">selected priority parts </w:t>
      </w:r>
      <w:r w:rsidR="0008427A">
        <w:rPr>
          <w:rFonts w:ascii="Times New Roman" w:hAnsi="Times New Roman" w:cs="Times New Roman"/>
          <w:sz w:val="24"/>
          <w:szCs w:val="24"/>
        </w:rPr>
        <w:t xml:space="preserve">have </w:t>
      </w:r>
      <w:r w:rsidR="00F07A01">
        <w:rPr>
          <w:rFonts w:ascii="Times New Roman" w:hAnsi="Times New Roman" w:cs="Times New Roman"/>
          <w:sz w:val="24"/>
          <w:szCs w:val="24"/>
        </w:rPr>
        <w:t>similar</w:t>
      </w:r>
      <w:r w:rsidR="00087B8A">
        <w:rPr>
          <w:rFonts w:ascii="Times New Roman" w:hAnsi="Times New Roman" w:cs="Times New Roman"/>
          <w:sz w:val="24"/>
          <w:szCs w:val="24"/>
        </w:rPr>
        <w:t xml:space="preserve"> </w:t>
      </w:r>
      <w:r w:rsidR="0008427A">
        <w:rPr>
          <w:rFonts w:ascii="Times New Roman" w:hAnsi="Times New Roman" w:cs="Times New Roman"/>
          <w:sz w:val="24"/>
          <w:szCs w:val="24"/>
        </w:rPr>
        <w:t xml:space="preserve">functional </w:t>
      </w:r>
      <w:r w:rsidR="00087B8A">
        <w:rPr>
          <w:rFonts w:ascii="Times New Roman" w:hAnsi="Times New Roman" w:cs="Times New Roman"/>
          <w:sz w:val="24"/>
          <w:szCs w:val="24"/>
        </w:rPr>
        <w:t xml:space="preserve">relevance </w:t>
      </w:r>
      <w:r w:rsidR="0008427A">
        <w:rPr>
          <w:rFonts w:ascii="Times New Roman" w:hAnsi="Times New Roman" w:cs="Times New Roman"/>
          <w:sz w:val="24"/>
          <w:szCs w:val="24"/>
        </w:rPr>
        <w:t>for</w:t>
      </w:r>
      <w:r w:rsidR="00087B8A">
        <w:rPr>
          <w:rFonts w:ascii="Times New Roman" w:hAnsi="Times New Roman" w:cs="Times New Roman"/>
          <w:sz w:val="24"/>
          <w:szCs w:val="24"/>
        </w:rPr>
        <w:t xml:space="preserve"> the operation of a tumble dryer, for which reason </w:t>
      </w:r>
      <w:r w:rsidR="00290617">
        <w:rPr>
          <w:rFonts w:ascii="Times New Roman" w:hAnsi="Times New Roman" w:cs="Times New Roman"/>
          <w:sz w:val="24"/>
          <w:szCs w:val="24"/>
        </w:rPr>
        <w:t xml:space="preserve">this </w:t>
      </w:r>
      <w:r w:rsidR="00F07A01">
        <w:rPr>
          <w:rFonts w:ascii="Times New Roman" w:hAnsi="Times New Roman" w:cs="Times New Roman"/>
          <w:sz w:val="24"/>
          <w:szCs w:val="24"/>
        </w:rPr>
        <w:t>criterion</w:t>
      </w:r>
      <w:r w:rsidR="00290617">
        <w:rPr>
          <w:rFonts w:ascii="Times New Roman" w:hAnsi="Times New Roman" w:cs="Times New Roman"/>
          <w:sz w:val="24"/>
          <w:szCs w:val="24"/>
        </w:rPr>
        <w:t xml:space="preserve"> </w:t>
      </w:r>
      <w:r w:rsidR="00F07A01">
        <w:rPr>
          <w:rFonts w:ascii="Times New Roman" w:hAnsi="Times New Roman" w:cs="Times New Roman"/>
          <w:sz w:val="24"/>
          <w:szCs w:val="24"/>
        </w:rPr>
        <w:t>has been dismissed</w:t>
      </w:r>
      <w:r w:rsidR="00087B8A">
        <w:rPr>
          <w:rFonts w:ascii="Times New Roman" w:hAnsi="Times New Roman" w:cs="Times New Roman"/>
          <w:sz w:val="24"/>
          <w:szCs w:val="24"/>
        </w:rPr>
        <w:t xml:space="preserve">. </w:t>
      </w:r>
      <w:r w:rsidR="00DB0AC9">
        <w:rPr>
          <w:rFonts w:ascii="Times New Roman" w:hAnsi="Times New Roman" w:cs="Times New Roman"/>
          <w:sz w:val="24"/>
          <w:szCs w:val="24"/>
        </w:rPr>
        <w:t xml:space="preserve">The list is </w:t>
      </w:r>
      <w:r w:rsidR="00B4612E">
        <w:rPr>
          <w:rFonts w:ascii="Times New Roman" w:hAnsi="Times New Roman" w:cs="Times New Roman"/>
          <w:sz w:val="24"/>
          <w:szCs w:val="24"/>
        </w:rPr>
        <w:t xml:space="preserve">also consistent with the list of available spare parts laid down in Regulation (EU) 2023/2533 and with the relevant </w:t>
      </w:r>
      <w:r w:rsidR="0008427A">
        <w:rPr>
          <w:rFonts w:ascii="Times New Roman" w:hAnsi="Times New Roman" w:cs="Times New Roman"/>
          <w:sz w:val="24"/>
          <w:szCs w:val="24"/>
        </w:rPr>
        <w:t>priority</w:t>
      </w:r>
      <w:r w:rsidR="00B4612E">
        <w:rPr>
          <w:rFonts w:ascii="Times New Roman" w:hAnsi="Times New Roman" w:cs="Times New Roman"/>
          <w:sz w:val="24"/>
          <w:szCs w:val="24"/>
        </w:rPr>
        <w:t xml:space="preserve"> parts for tumble dryers identified in the study from the German Environmental Agency. </w:t>
      </w:r>
    </w:p>
    <w:p w14:paraId="18E114BA" w14:textId="60925888" w:rsidR="00910B69" w:rsidRDefault="00A35308" w:rsidP="00DC2F3C">
      <w:pPr>
        <w:spacing w:before="240"/>
        <w:jc w:val="both"/>
        <w:rPr>
          <w:rFonts w:ascii="Times New Roman" w:hAnsi="Times New Roman" w:cs="Times New Roman"/>
          <w:sz w:val="24"/>
          <w:szCs w:val="24"/>
        </w:rPr>
      </w:pPr>
      <w:r>
        <w:rPr>
          <w:rFonts w:ascii="Times New Roman" w:hAnsi="Times New Roman" w:cs="Times New Roman"/>
          <w:sz w:val="24"/>
          <w:szCs w:val="24"/>
        </w:rPr>
        <w:t>Regarding the s</w:t>
      </w:r>
      <w:r w:rsidR="00917D67">
        <w:rPr>
          <w:rFonts w:ascii="Times New Roman" w:hAnsi="Times New Roman" w:cs="Times New Roman"/>
          <w:sz w:val="24"/>
          <w:szCs w:val="24"/>
        </w:rPr>
        <w:t>cores</w:t>
      </w:r>
      <w:r>
        <w:rPr>
          <w:rFonts w:ascii="Times New Roman" w:hAnsi="Times New Roman" w:cs="Times New Roman"/>
          <w:sz w:val="24"/>
          <w:szCs w:val="24"/>
        </w:rPr>
        <w:t>, they</w:t>
      </w:r>
      <w:r w:rsidR="00910B69">
        <w:rPr>
          <w:rFonts w:ascii="Times New Roman" w:hAnsi="Times New Roman" w:cs="Times New Roman"/>
          <w:sz w:val="24"/>
          <w:szCs w:val="24"/>
        </w:rPr>
        <w:t xml:space="preserve"> are </w:t>
      </w:r>
      <w:r w:rsidR="004379B7">
        <w:rPr>
          <w:rFonts w:ascii="Times New Roman" w:hAnsi="Times New Roman" w:cs="Times New Roman"/>
          <w:sz w:val="24"/>
          <w:szCs w:val="24"/>
        </w:rPr>
        <w:t>calculated</w:t>
      </w:r>
      <w:r w:rsidR="00910B69">
        <w:rPr>
          <w:rFonts w:ascii="Times New Roman" w:hAnsi="Times New Roman" w:cs="Times New Roman"/>
          <w:sz w:val="24"/>
          <w:szCs w:val="24"/>
        </w:rPr>
        <w:t xml:space="preserve"> as follows: </w:t>
      </w:r>
    </w:p>
    <w:p w14:paraId="2D718A08" w14:textId="5433ACCF" w:rsidR="00917D67" w:rsidRDefault="00917D67" w:rsidP="00917D67">
      <w:pPr>
        <w:pStyle w:val="Heading3"/>
      </w:pPr>
      <w:r>
        <w:t>Disassembly depth score</w:t>
      </w:r>
    </w:p>
    <w:p w14:paraId="405F367E" w14:textId="606C658B" w:rsidR="00762615" w:rsidRDefault="00762615" w:rsidP="00917D67">
      <w:pPr>
        <w:jc w:val="both"/>
        <w:rPr>
          <w:rFonts w:ascii="Times New Roman" w:eastAsia="Times New Roman" w:hAnsi="Times New Roman" w:cs="Times New Roman"/>
          <w:sz w:val="24"/>
          <w:szCs w:val="24"/>
        </w:rPr>
      </w:pPr>
      <w:bookmarkStart w:id="3" w:name="_Hlk147997139"/>
      <w:r>
        <w:rPr>
          <w:rFonts w:ascii="Times New Roman" w:eastAsia="Times New Roman" w:hAnsi="Times New Roman" w:cs="Times New Roman"/>
          <w:sz w:val="24"/>
          <w:szCs w:val="24"/>
        </w:rPr>
        <w:t>The Disassembly depth score (</w:t>
      </w:r>
      <w:r w:rsidRPr="00CD1EFB">
        <w:rPr>
          <w:rFonts w:ascii="Times New Roman" w:eastAsia="Times New Roman" w:hAnsi="Times New Roman" w:cs="Times New Roman"/>
          <w:i/>
          <w:iCs/>
          <w:sz w:val="24"/>
          <w:szCs w:val="24"/>
        </w:rPr>
        <w:t>S</w:t>
      </w:r>
      <w:r w:rsidR="00CD1EFB" w:rsidRPr="00CD1EFB">
        <w:rPr>
          <w:rFonts w:ascii="Times New Roman" w:eastAsia="Times New Roman" w:hAnsi="Times New Roman" w:cs="Times New Roman"/>
          <w:i/>
          <w:iCs/>
          <w:sz w:val="24"/>
          <w:szCs w:val="24"/>
          <w:vertAlign w:val="subscript"/>
        </w:rPr>
        <w:t>DD</w:t>
      </w:r>
      <w:r>
        <w:rPr>
          <w:rFonts w:ascii="Times New Roman" w:eastAsia="Times New Roman" w:hAnsi="Times New Roman" w:cs="Times New Roman"/>
          <w:sz w:val="24"/>
          <w:szCs w:val="24"/>
        </w:rPr>
        <w:t xml:space="preserve">) </w:t>
      </w:r>
      <w:r w:rsidR="009E0F91">
        <w:rPr>
          <w:rFonts w:ascii="Times New Roman" w:eastAsia="Times New Roman" w:hAnsi="Times New Roman" w:cs="Times New Roman"/>
          <w:sz w:val="24"/>
          <w:szCs w:val="24"/>
        </w:rPr>
        <w:t xml:space="preserve">of </w:t>
      </w:r>
      <w:r w:rsidR="004B3AD2">
        <w:rPr>
          <w:rFonts w:ascii="Times New Roman" w:eastAsia="Times New Roman" w:hAnsi="Times New Roman" w:cs="Times New Roman"/>
          <w:sz w:val="24"/>
          <w:szCs w:val="24"/>
        </w:rPr>
        <w:t>a</w:t>
      </w:r>
      <w:r w:rsidR="009E0F91">
        <w:rPr>
          <w:rFonts w:ascii="Times New Roman" w:eastAsia="Times New Roman" w:hAnsi="Times New Roman" w:cs="Times New Roman"/>
          <w:sz w:val="24"/>
          <w:szCs w:val="24"/>
        </w:rPr>
        <w:t xml:space="preserve"> tumble dryer </w:t>
      </w:r>
      <w:r>
        <w:rPr>
          <w:rFonts w:ascii="Times New Roman" w:eastAsia="Times New Roman" w:hAnsi="Times New Roman" w:cs="Times New Roman"/>
          <w:sz w:val="24"/>
          <w:szCs w:val="24"/>
        </w:rPr>
        <w:t xml:space="preserve">is calculated </w:t>
      </w:r>
      <w:r w:rsidR="004379B7">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adapting formula (</w:t>
      </w:r>
      <w:r w:rsidR="00BC7948">
        <w:rPr>
          <w:rFonts w:ascii="Times New Roman" w:eastAsia="Times New Roman" w:hAnsi="Times New Roman" w:cs="Times New Roman"/>
          <w:sz w:val="24"/>
          <w:szCs w:val="24"/>
        </w:rPr>
        <w:t>2</w:t>
      </w:r>
      <w:r>
        <w:rPr>
          <w:rFonts w:ascii="Times New Roman" w:eastAsia="Times New Roman" w:hAnsi="Times New Roman" w:cs="Times New Roman"/>
          <w:sz w:val="24"/>
          <w:szCs w:val="24"/>
        </w:rPr>
        <w:t>) to the disassembly depth</w:t>
      </w:r>
      <w:r w:rsidR="00612048">
        <w:rPr>
          <w:rFonts w:ascii="Times New Roman" w:eastAsia="Times New Roman" w:hAnsi="Times New Roman" w:cs="Times New Roman"/>
          <w:sz w:val="24"/>
          <w:szCs w:val="24"/>
        </w:rPr>
        <w:t xml:space="preserve"> parameter</w:t>
      </w:r>
      <w:r>
        <w:rPr>
          <w:rFonts w:ascii="Times New Roman" w:eastAsia="Times New Roman" w:hAnsi="Times New Roman" w:cs="Times New Roman"/>
          <w:sz w:val="24"/>
          <w:szCs w:val="24"/>
        </w:rPr>
        <w:t xml:space="preserve">: </w:t>
      </w:r>
      <w:bookmarkEnd w:id="3"/>
    </w:p>
    <w:p w14:paraId="4D3774BF" w14:textId="01BFDE10" w:rsidR="00762615" w:rsidRDefault="00037509" w:rsidP="00917D67">
      <w:pPr>
        <w:jc w:val="both"/>
        <w:rPr>
          <w:rFonts w:ascii="Times New Roman" w:eastAsia="Times New Roman" w:hAnsi="Times New Roman" w:cs="Times New Roman"/>
          <w:sz w:val="24"/>
          <w:szCs w:val="24"/>
        </w:rPr>
      </w:pPr>
      <m:oMath>
        <m:sSub>
          <m:sSubPr>
            <m:ctrlPr>
              <w:rPr>
                <w:rFonts w:ascii="Cambria Math" w:hAnsi="Cambria Math"/>
                <w:i/>
              </w:rPr>
            </m:ctrlPr>
          </m:sSubPr>
          <m:e>
            <m:r>
              <w:rPr>
                <w:rFonts w:ascii="Cambria Math" w:hAnsi="Cambria Math"/>
              </w:rPr>
              <m:t>S</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DB</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MEB</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MEB</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MC</m:t>
            </m:r>
          </m:sub>
        </m:sSub>
        <m:r>
          <w:rPr>
            <w:rFonts w:ascii="Cambria Math" w:hAnsi="Cambria Math"/>
          </w:rPr>
          <m:t>×</m:t>
        </m:r>
        <m:sSub>
          <m:sSubPr>
            <m:ctrlPr>
              <w:rPr>
                <w:rFonts w:ascii="Cambria Math" w:hAnsi="Cambria Math"/>
                <w:i/>
              </w:rPr>
            </m:ctrlPr>
          </m:sSubPr>
          <m:e>
            <m:r>
              <w:rPr>
                <w:rFonts w:ascii="Cambria Math" w:hAnsi="Cambria Math"/>
              </w:rPr>
              <m:t>SDD</m:t>
            </m:r>
          </m:e>
          <m:sub>
            <m:r>
              <w:rPr>
                <w:rFonts w:ascii="Cambria Math" w:hAnsi="Cambria Math"/>
              </w:rPr>
              <m:t>MC</m:t>
            </m:r>
          </m:sub>
        </m:sSub>
      </m:oMath>
      <w:r w:rsidR="009E0F91">
        <w:rPr>
          <w:rFonts w:ascii="Times New Roman" w:eastAsia="Times New Roman" w:hAnsi="Times New Roman" w:cs="Times New Roman"/>
        </w:rPr>
        <w:t xml:space="preserve"> (4)</w:t>
      </w:r>
    </w:p>
    <w:p w14:paraId="5D7954BE" w14:textId="77BB74A0" w:rsidR="00917D67" w:rsidRDefault="009E0F91" w:rsidP="00917D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t>
      </w:r>
      <m:oMath>
        <m:sSub>
          <m:sSubPr>
            <m:ctrlPr>
              <w:rPr>
                <w:rFonts w:ascii="Cambria Math" w:hAnsi="Cambria Math"/>
                <w:i/>
              </w:rPr>
            </m:ctrlPr>
          </m:sSubPr>
          <m:e>
            <m:r>
              <w:rPr>
                <w:rFonts w:ascii="Cambria Math" w:hAnsi="Cambria Math"/>
              </w:rPr>
              <m:t>SDD</m:t>
            </m:r>
          </m:e>
          <m:sub>
            <m:r>
              <w:rPr>
                <w:rFonts w:ascii="Cambria Math" w:hAnsi="Cambria Math"/>
              </w:rPr>
              <m:t>PPn</m:t>
            </m:r>
          </m:sub>
        </m:sSub>
      </m:oMath>
      <w:r w:rsidR="004379B7">
        <w:rPr>
          <w:rFonts w:ascii="Times New Roman" w:eastAsia="Times New Roman" w:hAnsi="Times New Roman" w:cs="Times New Roman"/>
        </w:rPr>
        <w:t xml:space="preserve"> in formula (4)</w:t>
      </w:r>
      <w:r w:rsidR="00917D67" w:rsidRPr="00917D67">
        <w:rPr>
          <w:rFonts w:ascii="Times New Roman" w:eastAsia="Times New Roman" w:hAnsi="Times New Roman" w:cs="Times New Roman"/>
          <w:sz w:val="24"/>
          <w:szCs w:val="24"/>
        </w:rPr>
        <w:t xml:space="preserve"> is calculated based on the percentage of steps required to remove the</w:t>
      </w:r>
      <w:r>
        <w:rPr>
          <w:rFonts w:ascii="Times New Roman" w:eastAsia="Times New Roman" w:hAnsi="Times New Roman" w:cs="Times New Roman"/>
          <w:sz w:val="24"/>
          <w:szCs w:val="24"/>
        </w:rPr>
        <w:t xml:space="preserve"> corresponding</w:t>
      </w:r>
      <w:r w:rsidR="00917D67" w:rsidRPr="00917D67">
        <w:rPr>
          <w:rFonts w:ascii="Times New Roman" w:eastAsia="Times New Roman" w:hAnsi="Times New Roman" w:cs="Times New Roman"/>
          <w:sz w:val="24"/>
          <w:szCs w:val="24"/>
        </w:rPr>
        <w:t xml:space="preserve"> priority part from the product with respect to the mean number of steps for that priority part as laid down in Table</w:t>
      </w:r>
      <w:r w:rsidR="005E198C">
        <w:rPr>
          <w:rFonts w:ascii="Times New Roman" w:eastAsia="Times New Roman" w:hAnsi="Times New Roman" w:cs="Times New Roman"/>
          <w:sz w:val="24"/>
          <w:szCs w:val="24"/>
        </w:rPr>
        <w:t xml:space="preserve"> 2</w:t>
      </w:r>
      <w:r w:rsidR="00FC47D6">
        <w:rPr>
          <w:rFonts w:ascii="Times New Roman" w:eastAsia="Times New Roman" w:hAnsi="Times New Roman" w:cs="Times New Roman"/>
          <w:sz w:val="24"/>
          <w:szCs w:val="24"/>
        </w:rPr>
        <w:t xml:space="preserve"> and 3</w:t>
      </w:r>
      <w:r w:rsidR="005E198C">
        <w:rPr>
          <w:rFonts w:ascii="Times New Roman" w:eastAsia="Times New Roman" w:hAnsi="Times New Roman" w:cs="Times New Roman"/>
          <w:sz w:val="24"/>
          <w:szCs w:val="24"/>
        </w:rPr>
        <w:t>.</w:t>
      </w:r>
      <w:r w:rsidR="004B3AD2">
        <w:rPr>
          <w:rFonts w:ascii="Times New Roman" w:eastAsia="Times New Roman" w:hAnsi="Times New Roman" w:cs="Times New Roman"/>
          <w:sz w:val="24"/>
          <w:szCs w:val="24"/>
        </w:rPr>
        <w:t xml:space="preserve"> The mean number of steps </w:t>
      </w:r>
      <w:r w:rsidR="00E40272">
        <w:rPr>
          <w:rFonts w:ascii="Times New Roman" w:eastAsia="Times New Roman" w:hAnsi="Times New Roman" w:cs="Times New Roman"/>
          <w:sz w:val="24"/>
          <w:szCs w:val="24"/>
        </w:rPr>
        <w:t>have been taken from the German repairability study.</w:t>
      </w:r>
    </w:p>
    <w:tbl>
      <w:tblPr>
        <w:tblStyle w:val="TableGrid"/>
        <w:tblW w:w="0" w:type="auto"/>
        <w:jc w:val="center"/>
        <w:tblLook w:val="04A0" w:firstRow="1" w:lastRow="0" w:firstColumn="1" w:lastColumn="0" w:noHBand="0" w:noVBand="1"/>
      </w:tblPr>
      <w:tblGrid>
        <w:gridCol w:w="2336"/>
        <w:gridCol w:w="3790"/>
      </w:tblGrid>
      <w:tr w:rsidR="007E0E3C" w:rsidRPr="007E0E3C" w14:paraId="06FCD34C" w14:textId="77777777" w:rsidTr="00992F4E">
        <w:trPr>
          <w:jc w:val="center"/>
        </w:trPr>
        <w:tc>
          <w:tcPr>
            <w:tcW w:w="0" w:type="auto"/>
          </w:tcPr>
          <w:p w14:paraId="38B4CEF4" w14:textId="77777777" w:rsidR="007E0E3C" w:rsidRPr="007E0E3C" w:rsidRDefault="007E0E3C" w:rsidP="00AF5D7E">
            <w:pPr>
              <w:rPr>
                <w:rFonts w:ascii="Times New Roman" w:hAnsi="Times New Roman" w:cs="Times New Roman"/>
                <w:b/>
                <w:bCs/>
                <w:sz w:val="24"/>
                <w:szCs w:val="24"/>
              </w:rPr>
            </w:pPr>
            <w:r w:rsidRPr="007E0E3C">
              <w:rPr>
                <w:rFonts w:ascii="Times New Roman" w:hAnsi="Times New Roman" w:cs="Times New Roman"/>
                <w:b/>
                <w:bCs/>
                <w:sz w:val="24"/>
                <w:szCs w:val="24"/>
              </w:rPr>
              <w:t>Priority part</w:t>
            </w:r>
          </w:p>
        </w:tc>
        <w:tc>
          <w:tcPr>
            <w:tcW w:w="0" w:type="auto"/>
          </w:tcPr>
          <w:p w14:paraId="0B74480D" w14:textId="640AB7A3" w:rsidR="007E0E3C" w:rsidRPr="007E0E3C" w:rsidRDefault="007E0E3C" w:rsidP="00AF5D7E">
            <w:pPr>
              <w:jc w:val="center"/>
              <w:rPr>
                <w:rFonts w:ascii="Times New Roman" w:hAnsi="Times New Roman" w:cs="Times New Roman"/>
                <w:b/>
                <w:bCs/>
                <w:sz w:val="24"/>
                <w:szCs w:val="24"/>
              </w:rPr>
            </w:pPr>
            <w:r w:rsidRPr="007E0E3C">
              <w:rPr>
                <w:rFonts w:ascii="Times New Roman" w:hAnsi="Times New Roman" w:cs="Times New Roman"/>
                <w:b/>
                <w:bCs/>
                <w:sz w:val="24"/>
                <w:szCs w:val="24"/>
              </w:rPr>
              <w:t xml:space="preserve">Mean number of </w:t>
            </w:r>
            <w:r w:rsidR="004379B7">
              <w:rPr>
                <w:rFonts w:ascii="Times New Roman" w:hAnsi="Times New Roman" w:cs="Times New Roman"/>
                <w:b/>
                <w:bCs/>
                <w:sz w:val="24"/>
                <w:szCs w:val="24"/>
              </w:rPr>
              <w:t xml:space="preserve">disassembly </w:t>
            </w:r>
            <w:r w:rsidRPr="007E0E3C">
              <w:rPr>
                <w:rFonts w:ascii="Times New Roman" w:hAnsi="Times New Roman" w:cs="Times New Roman"/>
                <w:b/>
                <w:bCs/>
                <w:sz w:val="24"/>
                <w:szCs w:val="24"/>
              </w:rPr>
              <w:t>steps</w:t>
            </w:r>
          </w:p>
        </w:tc>
      </w:tr>
      <w:tr w:rsidR="007E0E3C" w:rsidRPr="007E0E3C" w14:paraId="70739D66" w14:textId="77777777" w:rsidTr="00992F4E">
        <w:trPr>
          <w:jc w:val="center"/>
        </w:trPr>
        <w:tc>
          <w:tcPr>
            <w:tcW w:w="0" w:type="auto"/>
          </w:tcPr>
          <w:p w14:paraId="265A28E3" w14:textId="2C62359F" w:rsidR="007E0E3C" w:rsidRPr="007E0E3C" w:rsidRDefault="007E0E3C" w:rsidP="00AF5D7E">
            <w:pPr>
              <w:rPr>
                <w:rFonts w:ascii="Times New Roman" w:hAnsi="Times New Roman" w:cs="Times New Roman"/>
                <w:sz w:val="24"/>
                <w:szCs w:val="24"/>
                <w:lang w:val="nl-BE"/>
              </w:rPr>
            </w:pPr>
            <w:r w:rsidRPr="007E0E3C">
              <w:rPr>
                <w:rFonts w:ascii="Times New Roman" w:hAnsi="Times New Roman" w:cs="Times New Roman"/>
                <w:sz w:val="24"/>
                <w:szCs w:val="24"/>
                <w:lang w:val="nl-BE"/>
              </w:rPr>
              <w:t>Water pump</w:t>
            </w:r>
          </w:p>
        </w:tc>
        <w:tc>
          <w:tcPr>
            <w:tcW w:w="0" w:type="auto"/>
          </w:tcPr>
          <w:p w14:paraId="6BDF4C00" w14:textId="78F59225"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16.1</w:t>
            </w:r>
          </w:p>
        </w:tc>
      </w:tr>
      <w:tr w:rsidR="007E0E3C" w:rsidRPr="007E0E3C" w14:paraId="668FF74D" w14:textId="77777777" w:rsidTr="00992F4E">
        <w:trPr>
          <w:jc w:val="center"/>
        </w:trPr>
        <w:tc>
          <w:tcPr>
            <w:tcW w:w="0" w:type="auto"/>
          </w:tcPr>
          <w:p w14:paraId="054287E4" w14:textId="7F5E7419" w:rsidR="007E0E3C" w:rsidRPr="007E0E3C" w:rsidRDefault="007E0E3C" w:rsidP="00AF5D7E">
            <w:pPr>
              <w:rPr>
                <w:rFonts w:ascii="Times New Roman" w:hAnsi="Times New Roman" w:cs="Times New Roman"/>
                <w:sz w:val="24"/>
                <w:szCs w:val="24"/>
                <w:lang w:val="nl-BE"/>
              </w:rPr>
            </w:pPr>
            <w:r w:rsidRPr="007E0E3C">
              <w:rPr>
                <w:rFonts w:ascii="Times New Roman" w:hAnsi="Times New Roman" w:cs="Times New Roman"/>
                <w:sz w:val="24"/>
                <w:szCs w:val="24"/>
                <w:lang w:val="nl-BE"/>
              </w:rPr>
              <w:t>Drum bearing</w:t>
            </w:r>
          </w:p>
        </w:tc>
        <w:tc>
          <w:tcPr>
            <w:tcW w:w="0" w:type="auto"/>
          </w:tcPr>
          <w:p w14:paraId="6463DFDC" w14:textId="406F0D4F"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18.9</w:t>
            </w:r>
          </w:p>
        </w:tc>
      </w:tr>
      <w:tr w:rsidR="007E0E3C" w:rsidRPr="007E0E3C" w14:paraId="0D61CFB5" w14:textId="77777777" w:rsidTr="00992F4E">
        <w:trPr>
          <w:jc w:val="center"/>
        </w:trPr>
        <w:tc>
          <w:tcPr>
            <w:tcW w:w="0" w:type="auto"/>
          </w:tcPr>
          <w:p w14:paraId="74A15774" w14:textId="6EF4862A" w:rsidR="007E0E3C" w:rsidRPr="007E0E3C" w:rsidRDefault="007E0E3C" w:rsidP="00AF5D7E">
            <w:pPr>
              <w:rPr>
                <w:rFonts w:ascii="Times New Roman" w:hAnsi="Times New Roman" w:cs="Times New Roman"/>
                <w:sz w:val="24"/>
                <w:szCs w:val="24"/>
              </w:rPr>
            </w:pPr>
            <w:r w:rsidRPr="007E0E3C">
              <w:rPr>
                <w:rFonts w:ascii="Times New Roman" w:hAnsi="Times New Roman" w:cs="Times New Roman"/>
                <w:sz w:val="24"/>
                <w:szCs w:val="24"/>
              </w:rPr>
              <w:t>Drum belt</w:t>
            </w:r>
          </w:p>
        </w:tc>
        <w:tc>
          <w:tcPr>
            <w:tcW w:w="0" w:type="auto"/>
          </w:tcPr>
          <w:p w14:paraId="6CA4E7E9" w14:textId="1D40C4E7" w:rsidR="007E0E3C" w:rsidRPr="007E0E3C" w:rsidRDefault="007E0E3C" w:rsidP="00AF5D7E">
            <w:pPr>
              <w:jc w:val="center"/>
              <w:rPr>
                <w:rFonts w:ascii="Times New Roman" w:hAnsi="Times New Roman" w:cs="Times New Roman"/>
                <w:sz w:val="24"/>
                <w:szCs w:val="24"/>
              </w:rPr>
            </w:pPr>
            <w:r w:rsidRPr="007E0E3C">
              <w:rPr>
                <w:rFonts w:ascii="Times New Roman" w:hAnsi="Times New Roman" w:cs="Times New Roman"/>
                <w:sz w:val="24"/>
                <w:szCs w:val="24"/>
                <w:lang w:val="nl-NL"/>
              </w:rPr>
              <w:t>40.9</w:t>
            </w:r>
          </w:p>
        </w:tc>
      </w:tr>
      <w:tr w:rsidR="007E0E3C" w:rsidRPr="007E0E3C" w14:paraId="1A927AA0" w14:textId="77777777" w:rsidTr="00992F4E">
        <w:trPr>
          <w:jc w:val="center"/>
        </w:trPr>
        <w:tc>
          <w:tcPr>
            <w:tcW w:w="0" w:type="auto"/>
          </w:tcPr>
          <w:p w14:paraId="374146DD" w14:textId="4D26C3D9" w:rsidR="007E0E3C" w:rsidRPr="007E0E3C" w:rsidRDefault="007E0E3C" w:rsidP="007E0E3C">
            <w:pPr>
              <w:rPr>
                <w:rFonts w:ascii="Times New Roman" w:hAnsi="Times New Roman" w:cs="Times New Roman"/>
                <w:sz w:val="24"/>
                <w:szCs w:val="24"/>
              </w:rPr>
            </w:pPr>
            <w:r w:rsidRPr="007E0E3C">
              <w:rPr>
                <w:rFonts w:ascii="Times New Roman" w:hAnsi="Times New Roman" w:cs="Times New Roman"/>
                <w:sz w:val="24"/>
                <w:szCs w:val="24"/>
              </w:rPr>
              <w:t>Door</w:t>
            </w:r>
          </w:p>
        </w:tc>
        <w:tc>
          <w:tcPr>
            <w:tcW w:w="0" w:type="auto"/>
          </w:tcPr>
          <w:p w14:paraId="5E486689" w14:textId="63344840"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rPr>
              <w:t>3</w:t>
            </w:r>
          </w:p>
        </w:tc>
      </w:tr>
      <w:tr w:rsidR="007E0E3C" w:rsidRPr="007E0E3C" w14:paraId="32E47407" w14:textId="77777777" w:rsidTr="00992F4E">
        <w:trPr>
          <w:jc w:val="center"/>
        </w:trPr>
        <w:tc>
          <w:tcPr>
            <w:tcW w:w="0" w:type="auto"/>
          </w:tcPr>
          <w:p w14:paraId="72681B70" w14:textId="67C4B915" w:rsidR="007E0E3C" w:rsidRPr="007E0E3C" w:rsidRDefault="007E0E3C" w:rsidP="007E0E3C">
            <w:pPr>
              <w:rPr>
                <w:rFonts w:ascii="Times New Roman" w:hAnsi="Times New Roman" w:cs="Times New Roman"/>
                <w:strike/>
                <w:sz w:val="24"/>
                <w:szCs w:val="24"/>
              </w:rPr>
            </w:pPr>
            <w:r w:rsidRPr="007E0E3C">
              <w:rPr>
                <w:rFonts w:ascii="Times New Roman" w:hAnsi="Times New Roman" w:cs="Times New Roman"/>
                <w:sz w:val="24"/>
                <w:szCs w:val="24"/>
              </w:rPr>
              <w:t>Motor</w:t>
            </w:r>
          </w:p>
        </w:tc>
        <w:tc>
          <w:tcPr>
            <w:tcW w:w="0" w:type="auto"/>
          </w:tcPr>
          <w:p w14:paraId="1EF18768" w14:textId="00FD41CF"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49.4</w:t>
            </w:r>
          </w:p>
        </w:tc>
      </w:tr>
      <w:tr w:rsidR="007E0E3C" w:rsidRPr="007E0E3C" w14:paraId="6B814244" w14:textId="77777777" w:rsidTr="00992F4E">
        <w:trPr>
          <w:jc w:val="center"/>
        </w:trPr>
        <w:tc>
          <w:tcPr>
            <w:tcW w:w="0" w:type="auto"/>
          </w:tcPr>
          <w:p w14:paraId="074869CC" w14:textId="0ED25A40" w:rsidR="007E0E3C" w:rsidRPr="007E0E3C" w:rsidRDefault="007E0E3C" w:rsidP="007E0E3C">
            <w:pPr>
              <w:rPr>
                <w:rFonts w:ascii="Times New Roman" w:hAnsi="Times New Roman" w:cs="Times New Roman"/>
                <w:sz w:val="24"/>
                <w:szCs w:val="24"/>
              </w:rPr>
            </w:pPr>
            <w:r w:rsidRPr="007E0E3C">
              <w:rPr>
                <w:rFonts w:ascii="Times New Roman" w:hAnsi="Times New Roman" w:cs="Times New Roman"/>
                <w:sz w:val="24"/>
                <w:szCs w:val="24"/>
              </w:rPr>
              <w:t xml:space="preserve">Main </w:t>
            </w:r>
            <w:r>
              <w:rPr>
                <w:rFonts w:ascii="Times New Roman" w:hAnsi="Times New Roman" w:cs="Times New Roman"/>
                <w:sz w:val="24"/>
                <w:szCs w:val="24"/>
              </w:rPr>
              <w:t xml:space="preserve">electronic </w:t>
            </w:r>
            <w:r w:rsidRPr="007E0E3C">
              <w:rPr>
                <w:rFonts w:ascii="Times New Roman" w:hAnsi="Times New Roman" w:cs="Times New Roman"/>
                <w:sz w:val="24"/>
                <w:szCs w:val="24"/>
              </w:rPr>
              <w:t>board</w:t>
            </w:r>
          </w:p>
        </w:tc>
        <w:tc>
          <w:tcPr>
            <w:tcW w:w="0" w:type="auto"/>
          </w:tcPr>
          <w:p w14:paraId="000F717C" w14:textId="36DCF7A2"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13.7</w:t>
            </w:r>
          </w:p>
        </w:tc>
      </w:tr>
      <w:tr w:rsidR="007E0E3C" w:rsidRPr="007E0E3C" w14:paraId="7D521B9C" w14:textId="77777777" w:rsidTr="00992F4E">
        <w:trPr>
          <w:jc w:val="center"/>
        </w:trPr>
        <w:tc>
          <w:tcPr>
            <w:tcW w:w="0" w:type="auto"/>
          </w:tcPr>
          <w:p w14:paraId="52F85888" w14:textId="5614D189" w:rsidR="007E0E3C" w:rsidRPr="007E0E3C" w:rsidRDefault="007E0E3C" w:rsidP="007E0E3C">
            <w:pPr>
              <w:rPr>
                <w:rFonts w:ascii="Times New Roman" w:hAnsi="Times New Roman" w:cs="Times New Roman"/>
                <w:sz w:val="24"/>
                <w:szCs w:val="24"/>
              </w:rPr>
            </w:pPr>
            <w:r w:rsidRPr="007E0E3C">
              <w:rPr>
                <w:rFonts w:ascii="Times New Roman" w:hAnsi="Times New Roman" w:cs="Times New Roman"/>
                <w:sz w:val="24"/>
                <w:szCs w:val="24"/>
              </w:rPr>
              <w:t>Fan</w:t>
            </w:r>
          </w:p>
        </w:tc>
        <w:tc>
          <w:tcPr>
            <w:tcW w:w="0" w:type="auto"/>
          </w:tcPr>
          <w:p w14:paraId="05468467" w14:textId="77B76875"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7.7</w:t>
            </w:r>
          </w:p>
        </w:tc>
      </w:tr>
      <w:tr w:rsidR="007E0E3C" w:rsidRPr="007E0E3C" w14:paraId="365E455F" w14:textId="77777777" w:rsidTr="00992F4E">
        <w:trPr>
          <w:jc w:val="center"/>
        </w:trPr>
        <w:tc>
          <w:tcPr>
            <w:tcW w:w="0" w:type="auto"/>
          </w:tcPr>
          <w:p w14:paraId="2576D57E" w14:textId="522F3BBA" w:rsidR="007E0E3C" w:rsidRPr="007E0E3C" w:rsidRDefault="007E0E3C" w:rsidP="007E0E3C">
            <w:pPr>
              <w:rPr>
                <w:rFonts w:ascii="Times New Roman" w:hAnsi="Times New Roman" w:cs="Times New Roman"/>
                <w:sz w:val="24"/>
                <w:szCs w:val="24"/>
              </w:rPr>
            </w:pPr>
            <w:r w:rsidRPr="007E0E3C">
              <w:rPr>
                <w:rFonts w:ascii="Times New Roman" w:hAnsi="Times New Roman" w:cs="Times New Roman"/>
                <w:sz w:val="24"/>
                <w:szCs w:val="24"/>
              </w:rPr>
              <w:t>Motor capacitor</w:t>
            </w:r>
          </w:p>
        </w:tc>
        <w:tc>
          <w:tcPr>
            <w:tcW w:w="0" w:type="auto"/>
          </w:tcPr>
          <w:p w14:paraId="5AE8F726" w14:textId="791325B5" w:rsidR="007E0E3C" w:rsidRPr="007E0E3C" w:rsidRDefault="007E0E3C" w:rsidP="007E0E3C">
            <w:pPr>
              <w:jc w:val="center"/>
              <w:rPr>
                <w:rFonts w:ascii="Times New Roman" w:hAnsi="Times New Roman" w:cs="Times New Roman"/>
                <w:sz w:val="24"/>
                <w:szCs w:val="24"/>
                <w:lang w:val="nl-NL"/>
              </w:rPr>
            </w:pPr>
            <w:r w:rsidRPr="007E0E3C">
              <w:rPr>
                <w:rFonts w:ascii="Times New Roman" w:hAnsi="Times New Roman" w:cs="Times New Roman"/>
                <w:sz w:val="24"/>
                <w:szCs w:val="24"/>
                <w:lang w:val="nl-NL"/>
              </w:rPr>
              <w:t>24.9</w:t>
            </w:r>
          </w:p>
        </w:tc>
      </w:tr>
    </w:tbl>
    <w:p w14:paraId="5B4227C1" w14:textId="2156B9A6" w:rsidR="007E0E3C" w:rsidRPr="001A3E84" w:rsidRDefault="007E0E3C" w:rsidP="007E0451">
      <w:pPr>
        <w:jc w:val="center"/>
        <w:rPr>
          <w:rFonts w:ascii="Times New Roman" w:hAnsi="Times New Roman" w:cs="Times New Roman"/>
          <w:i/>
          <w:sz w:val="20"/>
          <w:szCs w:val="20"/>
        </w:rPr>
      </w:pPr>
      <w:r>
        <w:rPr>
          <w:rFonts w:ascii="Times New Roman" w:hAnsi="Times New Roman" w:cs="Times New Roman"/>
          <w:i/>
          <w:sz w:val="20"/>
          <w:szCs w:val="20"/>
        </w:rPr>
        <w:t xml:space="preserve">Table </w:t>
      </w:r>
      <w:r w:rsidR="007E0451">
        <w:rPr>
          <w:rFonts w:ascii="Times New Roman" w:hAnsi="Times New Roman" w:cs="Times New Roman"/>
          <w:i/>
          <w:sz w:val="20"/>
          <w:szCs w:val="20"/>
        </w:rPr>
        <w:t>2</w:t>
      </w:r>
      <w:r w:rsidRPr="001A3E84">
        <w:rPr>
          <w:rFonts w:ascii="Times New Roman" w:hAnsi="Times New Roman" w:cs="Times New Roman"/>
          <w:i/>
          <w:sz w:val="20"/>
          <w:szCs w:val="20"/>
        </w:rPr>
        <w:t xml:space="preserve">. </w:t>
      </w:r>
      <w:r w:rsidR="007E0451">
        <w:rPr>
          <w:rFonts w:ascii="Times New Roman" w:hAnsi="Times New Roman" w:cs="Times New Roman"/>
          <w:i/>
          <w:sz w:val="20"/>
          <w:szCs w:val="20"/>
        </w:rPr>
        <w:t>Mean number of steps for each priority part</w:t>
      </w:r>
    </w:p>
    <w:tbl>
      <w:tblPr>
        <w:tblStyle w:val="TableGrid"/>
        <w:tblW w:w="0" w:type="auto"/>
        <w:jc w:val="center"/>
        <w:tblLook w:val="04A0" w:firstRow="1" w:lastRow="0" w:firstColumn="1" w:lastColumn="0" w:noHBand="0" w:noVBand="1"/>
      </w:tblPr>
      <w:tblGrid>
        <w:gridCol w:w="7303"/>
        <w:gridCol w:w="1713"/>
      </w:tblGrid>
      <w:tr w:rsidR="00992F4E" w:rsidRPr="00FC22C9" w14:paraId="77976508" w14:textId="77777777" w:rsidTr="00992F4E">
        <w:trPr>
          <w:jc w:val="center"/>
        </w:trPr>
        <w:tc>
          <w:tcPr>
            <w:tcW w:w="0" w:type="auto"/>
          </w:tcPr>
          <w:p w14:paraId="7550FC62" w14:textId="6140801A" w:rsidR="00FC47D6" w:rsidRPr="00FC22C9" w:rsidRDefault="00FC47D6" w:rsidP="00AF5D7E">
            <w:pPr>
              <w:rPr>
                <w:rFonts w:ascii="Times New Roman" w:hAnsi="Times New Roman" w:cs="Times New Roman"/>
                <w:b/>
                <w:bCs/>
                <w:sz w:val="24"/>
                <w:szCs w:val="24"/>
              </w:rPr>
            </w:pPr>
            <w:r w:rsidRPr="00FC22C9">
              <w:rPr>
                <w:rFonts w:ascii="Times New Roman" w:hAnsi="Times New Roman" w:cs="Times New Roman"/>
                <w:b/>
                <w:bCs/>
                <w:sz w:val="24"/>
                <w:szCs w:val="24"/>
              </w:rPr>
              <w:t xml:space="preserve">disassembly </w:t>
            </w:r>
            <w:r w:rsidR="00992F4E" w:rsidRPr="00FC22C9">
              <w:rPr>
                <w:rFonts w:ascii="Times New Roman" w:hAnsi="Times New Roman" w:cs="Times New Roman"/>
                <w:b/>
                <w:bCs/>
                <w:sz w:val="24"/>
                <w:szCs w:val="24"/>
              </w:rPr>
              <w:t>depth</w:t>
            </w:r>
            <w:r w:rsidRPr="00FC22C9">
              <w:rPr>
                <w:rFonts w:ascii="Times New Roman" w:hAnsi="Times New Roman" w:cs="Times New Roman"/>
                <w:b/>
                <w:bCs/>
                <w:sz w:val="24"/>
                <w:szCs w:val="24"/>
              </w:rPr>
              <w:t xml:space="preserve"> (as a percentage of the mean number of steps in Table 2)</w:t>
            </w:r>
          </w:p>
        </w:tc>
        <w:tc>
          <w:tcPr>
            <w:tcW w:w="0" w:type="auto"/>
          </w:tcPr>
          <w:p w14:paraId="3EEF2626" w14:textId="64B6B669" w:rsidR="00FC47D6" w:rsidRPr="00FC22C9" w:rsidRDefault="00FC47D6" w:rsidP="00AF5D7E">
            <w:pPr>
              <w:jc w:val="center"/>
              <w:rPr>
                <w:rFonts w:ascii="Times New Roman" w:hAnsi="Times New Roman" w:cs="Times New Roman"/>
                <w:b/>
                <w:bCs/>
                <w:sz w:val="24"/>
                <w:szCs w:val="24"/>
              </w:rPr>
            </w:pPr>
            <w:r w:rsidRPr="00FC22C9">
              <w:rPr>
                <w:rFonts w:ascii="Times New Roman" w:hAnsi="Times New Roman" w:cs="Times New Roman"/>
                <w:b/>
                <w:bCs/>
                <w:sz w:val="24"/>
                <w:szCs w:val="24"/>
              </w:rPr>
              <w:t>Score</w:t>
            </w:r>
            <w:r w:rsidR="00992F4E" w:rsidRPr="00FC22C9">
              <w:rPr>
                <w:rFonts w:ascii="Times New Roman" w:hAnsi="Times New Roman" w:cs="Times New Roman"/>
                <w:b/>
                <w:bCs/>
                <w:sz w:val="24"/>
                <w:szCs w:val="24"/>
              </w:rPr>
              <w:t xml:space="preserve"> (</w:t>
            </w:r>
            <w:r w:rsidR="00992F4E" w:rsidRPr="00495D77">
              <w:rPr>
                <w:rFonts w:ascii="Times New Roman" w:hAnsi="Times New Roman" w:cs="Times New Roman"/>
                <w:b/>
                <w:bCs/>
                <w:i/>
                <w:iCs/>
                <w:sz w:val="24"/>
                <w:szCs w:val="24"/>
              </w:rPr>
              <w:t>SDD</w:t>
            </w:r>
            <w:r w:rsidR="00992F4E" w:rsidRPr="00495D77">
              <w:rPr>
                <w:rFonts w:ascii="Times New Roman" w:hAnsi="Times New Roman" w:cs="Times New Roman"/>
                <w:b/>
                <w:bCs/>
                <w:i/>
                <w:iCs/>
                <w:sz w:val="24"/>
                <w:szCs w:val="24"/>
                <w:vertAlign w:val="subscript"/>
              </w:rPr>
              <w:t>PPn</w:t>
            </w:r>
            <w:r w:rsidR="00992F4E" w:rsidRPr="00FC22C9">
              <w:rPr>
                <w:rFonts w:ascii="Times New Roman" w:hAnsi="Times New Roman" w:cs="Times New Roman"/>
                <w:b/>
                <w:bCs/>
                <w:sz w:val="24"/>
                <w:szCs w:val="24"/>
              </w:rPr>
              <w:t>)</w:t>
            </w:r>
          </w:p>
        </w:tc>
      </w:tr>
      <w:tr w:rsidR="00FC47D6" w:rsidRPr="00FC22C9" w14:paraId="7E7F4262" w14:textId="77777777" w:rsidTr="00992F4E">
        <w:trPr>
          <w:jc w:val="center"/>
        </w:trPr>
        <w:tc>
          <w:tcPr>
            <w:tcW w:w="0" w:type="auto"/>
          </w:tcPr>
          <w:p w14:paraId="060BCCF6" w14:textId="352D1A10" w:rsidR="00FC47D6" w:rsidRPr="00FC22C9" w:rsidRDefault="00992F4E" w:rsidP="00AF5D7E">
            <w:pPr>
              <w:rPr>
                <w:rFonts w:ascii="Times New Roman" w:hAnsi="Times New Roman" w:cs="Times New Roman"/>
                <w:sz w:val="24"/>
                <w:szCs w:val="24"/>
              </w:rPr>
            </w:pPr>
            <w:r w:rsidRPr="00FC22C9">
              <w:rPr>
                <w:rFonts w:ascii="Times New Roman" w:hAnsi="Times New Roman" w:cs="Times New Roman"/>
                <w:sz w:val="24"/>
                <w:szCs w:val="24"/>
              </w:rPr>
              <w:t>DD ≤ 70%</w:t>
            </w:r>
          </w:p>
        </w:tc>
        <w:tc>
          <w:tcPr>
            <w:tcW w:w="0" w:type="auto"/>
          </w:tcPr>
          <w:p w14:paraId="0DC29FF5" w14:textId="45180E83" w:rsidR="00FC47D6" w:rsidRPr="00FC22C9" w:rsidRDefault="00992F4E" w:rsidP="00AF5D7E">
            <w:pPr>
              <w:jc w:val="center"/>
              <w:rPr>
                <w:rFonts w:ascii="Times New Roman" w:hAnsi="Times New Roman" w:cs="Times New Roman"/>
                <w:sz w:val="24"/>
                <w:szCs w:val="24"/>
                <w:lang w:val="nl-NL"/>
              </w:rPr>
            </w:pPr>
            <w:r w:rsidRPr="00FC22C9">
              <w:rPr>
                <w:rFonts w:ascii="Times New Roman" w:hAnsi="Times New Roman" w:cs="Times New Roman"/>
                <w:sz w:val="24"/>
                <w:szCs w:val="24"/>
                <w:lang w:val="nl-NL"/>
              </w:rPr>
              <w:t>10</w:t>
            </w:r>
          </w:p>
        </w:tc>
      </w:tr>
      <w:tr w:rsidR="00FC47D6" w:rsidRPr="00FC22C9" w14:paraId="02C07F86" w14:textId="77777777" w:rsidTr="00992F4E">
        <w:trPr>
          <w:jc w:val="center"/>
        </w:trPr>
        <w:tc>
          <w:tcPr>
            <w:tcW w:w="0" w:type="auto"/>
          </w:tcPr>
          <w:p w14:paraId="73229545" w14:textId="7B925AC9" w:rsidR="00FC47D6" w:rsidRPr="00FC22C9" w:rsidRDefault="00992F4E" w:rsidP="00AF5D7E">
            <w:pPr>
              <w:rPr>
                <w:rFonts w:ascii="Times New Roman" w:hAnsi="Times New Roman" w:cs="Times New Roman"/>
                <w:sz w:val="24"/>
                <w:szCs w:val="24"/>
              </w:rPr>
            </w:pPr>
            <w:r w:rsidRPr="00FC22C9">
              <w:rPr>
                <w:rFonts w:ascii="Times New Roman" w:hAnsi="Times New Roman" w:cs="Times New Roman"/>
                <w:sz w:val="24"/>
                <w:szCs w:val="24"/>
              </w:rPr>
              <w:t>70% &lt; DD ≤ 90%</w:t>
            </w:r>
          </w:p>
        </w:tc>
        <w:tc>
          <w:tcPr>
            <w:tcW w:w="0" w:type="auto"/>
          </w:tcPr>
          <w:p w14:paraId="10C57905" w14:textId="4D81521A" w:rsidR="00FC47D6" w:rsidRPr="00FC22C9" w:rsidRDefault="00472E37" w:rsidP="00AF5D7E">
            <w:pPr>
              <w:jc w:val="center"/>
              <w:rPr>
                <w:rFonts w:ascii="Times New Roman" w:hAnsi="Times New Roman" w:cs="Times New Roman"/>
                <w:sz w:val="24"/>
                <w:szCs w:val="24"/>
                <w:lang w:val="nl-NL"/>
              </w:rPr>
            </w:pPr>
            <w:r>
              <w:rPr>
                <w:rFonts w:ascii="Times New Roman" w:hAnsi="Times New Roman" w:cs="Times New Roman"/>
                <w:sz w:val="24"/>
                <w:szCs w:val="24"/>
                <w:lang w:val="nl-NL"/>
              </w:rPr>
              <w:t>7</w:t>
            </w:r>
          </w:p>
        </w:tc>
      </w:tr>
      <w:tr w:rsidR="00FC47D6" w:rsidRPr="00FC22C9" w14:paraId="2DA412ED" w14:textId="77777777" w:rsidTr="00992F4E">
        <w:trPr>
          <w:jc w:val="center"/>
        </w:trPr>
        <w:tc>
          <w:tcPr>
            <w:tcW w:w="0" w:type="auto"/>
          </w:tcPr>
          <w:p w14:paraId="2DE8EED4" w14:textId="5EF40F10" w:rsidR="00FC47D6" w:rsidRPr="00FC22C9" w:rsidRDefault="00992F4E" w:rsidP="00AF5D7E">
            <w:pPr>
              <w:rPr>
                <w:rFonts w:ascii="Times New Roman" w:hAnsi="Times New Roman" w:cs="Times New Roman"/>
                <w:sz w:val="24"/>
                <w:szCs w:val="24"/>
              </w:rPr>
            </w:pPr>
            <w:r w:rsidRPr="00FC22C9">
              <w:rPr>
                <w:rFonts w:ascii="Times New Roman" w:hAnsi="Times New Roman" w:cs="Times New Roman"/>
                <w:sz w:val="24"/>
                <w:szCs w:val="24"/>
              </w:rPr>
              <w:t>90% &lt; DD ≤ 110%</w:t>
            </w:r>
          </w:p>
        </w:tc>
        <w:tc>
          <w:tcPr>
            <w:tcW w:w="0" w:type="auto"/>
          </w:tcPr>
          <w:p w14:paraId="5C1F08DE" w14:textId="6E5B4A09" w:rsidR="00FC47D6" w:rsidRPr="00FC22C9" w:rsidRDefault="00472E37" w:rsidP="00AF5D7E">
            <w:pPr>
              <w:jc w:val="center"/>
              <w:rPr>
                <w:rFonts w:ascii="Times New Roman" w:hAnsi="Times New Roman" w:cs="Times New Roman"/>
                <w:sz w:val="24"/>
                <w:szCs w:val="24"/>
              </w:rPr>
            </w:pPr>
            <w:r>
              <w:rPr>
                <w:rFonts w:ascii="Times New Roman" w:hAnsi="Times New Roman" w:cs="Times New Roman"/>
                <w:sz w:val="24"/>
                <w:szCs w:val="24"/>
                <w:lang w:val="nl-NL"/>
              </w:rPr>
              <w:t>4</w:t>
            </w:r>
          </w:p>
        </w:tc>
      </w:tr>
      <w:tr w:rsidR="00992F4E" w:rsidRPr="00FC22C9" w14:paraId="37F605B4" w14:textId="77777777" w:rsidTr="00992F4E">
        <w:trPr>
          <w:jc w:val="center"/>
        </w:trPr>
        <w:tc>
          <w:tcPr>
            <w:tcW w:w="0" w:type="auto"/>
          </w:tcPr>
          <w:p w14:paraId="0A76E59E" w14:textId="174F6843" w:rsidR="00FC47D6" w:rsidRPr="00FC22C9" w:rsidRDefault="00992F4E" w:rsidP="00AF5D7E">
            <w:pPr>
              <w:rPr>
                <w:rFonts w:ascii="Times New Roman" w:hAnsi="Times New Roman" w:cs="Times New Roman"/>
                <w:sz w:val="24"/>
                <w:szCs w:val="24"/>
              </w:rPr>
            </w:pPr>
            <w:r w:rsidRPr="00FC22C9">
              <w:rPr>
                <w:rFonts w:ascii="Times New Roman" w:hAnsi="Times New Roman" w:cs="Times New Roman"/>
                <w:sz w:val="24"/>
                <w:szCs w:val="24"/>
              </w:rPr>
              <w:t>110% &lt; DD ≤ 130%</w:t>
            </w:r>
          </w:p>
        </w:tc>
        <w:tc>
          <w:tcPr>
            <w:tcW w:w="0" w:type="auto"/>
          </w:tcPr>
          <w:p w14:paraId="0E5397DF" w14:textId="4E200DA4" w:rsidR="00FC47D6" w:rsidRPr="00FC22C9" w:rsidRDefault="00472E37" w:rsidP="00AF5D7E">
            <w:pPr>
              <w:jc w:val="center"/>
              <w:rPr>
                <w:rFonts w:ascii="Times New Roman" w:hAnsi="Times New Roman" w:cs="Times New Roman"/>
                <w:sz w:val="24"/>
                <w:szCs w:val="24"/>
                <w:lang w:val="nl-NL"/>
              </w:rPr>
            </w:pPr>
            <w:r>
              <w:rPr>
                <w:rFonts w:ascii="Times New Roman" w:hAnsi="Times New Roman" w:cs="Times New Roman"/>
                <w:sz w:val="24"/>
                <w:szCs w:val="24"/>
              </w:rPr>
              <w:t>1</w:t>
            </w:r>
          </w:p>
        </w:tc>
      </w:tr>
      <w:tr w:rsidR="00992F4E" w:rsidRPr="00FC22C9" w14:paraId="3082D418" w14:textId="77777777" w:rsidTr="00992F4E">
        <w:trPr>
          <w:jc w:val="center"/>
        </w:trPr>
        <w:tc>
          <w:tcPr>
            <w:tcW w:w="0" w:type="auto"/>
          </w:tcPr>
          <w:p w14:paraId="74458D00" w14:textId="2D40DD08" w:rsidR="00FC47D6" w:rsidRPr="00FC22C9" w:rsidRDefault="00992F4E" w:rsidP="00AF5D7E">
            <w:pPr>
              <w:rPr>
                <w:rFonts w:ascii="Times New Roman" w:hAnsi="Times New Roman" w:cs="Times New Roman"/>
                <w:strike/>
                <w:sz w:val="24"/>
                <w:szCs w:val="24"/>
              </w:rPr>
            </w:pPr>
            <w:r w:rsidRPr="00FC22C9">
              <w:rPr>
                <w:rFonts w:ascii="Times New Roman" w:hAnsi="Times New Roman" w:cs="Times New Roman"/>
                <w:sz w:val="24"/>
                <w:szCs w:val="24"/>
              </w:rPr>
              <w:t>DD &gt; 130%</w:t>
            </w:r>
          </w:p>
        </w:tc>
        <w:tc>
          <w:tcPr>
            <w:tcW w:w="0" w:type="auto"/>
          </w:tcPr>
          <w:p w14:paraId="2B3F2533" w14:textId="38B25389" w:rsidR="00FC47D6" w:rsidRPr="00FC22C9" w:rsidRDefault="00472E37" w:rsidP="00AF5D7E">
            <w:pPr>
              <w:jc w:val="center"/>
              <w:rPr>
                <w:rFonts w:ascii="Times New Roman" w:hAnsi="Times New Roman" w:cs="Times New Roman"/>
                <w:sz w:val="24"/>
                <w:szCs w:val="24"/>
                <w:lang w:val="nl-NL"/>
              </w:rPr>
            </w:pPr>
            <w:r>
              <w:rPr>
                <w:rFonts w:ascii="Times New Roman" w:hAnsi="Times New Roman" w:cs="Times New Roman"/>
                <w:sz w:val="24"/>
                <w:szCs w:val="24"/>
                <w:lang w:val="nl-NL"/>
              </w:rPr>
              <w:t>0</w:t>
            </w:r>
          </w:p>
        </w:tc>
      </w:tr>
    </w:tbl>
    <w:p w14:paraId="4AFE1C66" w14:textId="719F7819" w:rsidR="007E0451" w:rsidRDefault="00FC47D6" w:rsidP="00FC47D6">
      <w:pPr>
        <w:jc w:val="center"/>
        <w:rPr>
          <w:rFonts w:ascii="Times New Roman" w:hAnsi="Times New Roman" w:cs="Times New Roman"/>
          <w:sz w:val="24"/>
          <w:szCs w:val="24"/>
        </w:rPr>
      </w:pPr>
      <w:r>
        <w:rPr>
          <w:rFonts w:ascii="Times New Roman" w:hAnsi="Times New Roman" w:cs="Times New Roman"/>
          <w:i/>
          <w:sz w:val="20"/>
          <w:szCs w:val="20"/>
        </w:rPr>
        <w:t>Table 3</w:t>
      </w:r>
      <w:r w:rsidRPr="001A3E84">
        <w:rPr>
          <w:rFonts w:ascii="Times New Roman" w:hAnsi="Times New Roman" w:cs="Times New Roman"/>
          <w:i/>
          <w:sz w:val="20"/>
          <w:szCs w:val="20"/>
        </w:rPr>
        <w:t xml:space="preserve">. </w:t>
      </w:r>
      <w:r>
        <w:rPr>
          <w:rFonts w:ascii="Times New Roman" w:hAnsi="Times New Roman" w:cs="Times New Roman"/>
          <w:i/>
          <w:sz w:val="20"/>
          <w:szCs w:val="20"/>
        </w:rPr>
        <w:t>Disassembly depth score</w:t>
      </w:r>
    </w:p>
    <w:p w14:paraId="02C00C10" w14:textId="73DEA326" w:rsidR="007E0451" w:rsidRDefault="00612048" w:rsidP="00612048">
      <w:pPr>
        <w:pStyle w:val="Heading3"/>
      </w:pPr>
      <w:r>
        <w:t>Fastener type score</w:t>
      </w:r>
    </w:p>
    <w:p w14:paraId="11A5B1F0" w14:textId="13C476FE" w:rsidR="00CC1BEC" w:rsidRDefault="00612048" w:rsidP="00DC2F3C">
      <w:pPr>
        <w:spacing w:before="240"/>
        <w:jc w:val="both"/>
        <w:rPr>
          <w:rFonts w:ascii="Times New Roman" w:hAnsi="Times New Roman" w:cs="Times New Roman"/>
          <w:sz w:val="24"/>
          <w:szCs w:val="24"/>
        </w:rPr>
      </w:pPr>
      <w:r>
        <w:rPr>
          <w:rFonts w:ascii="Times New Roman" w:eastAsia="Times New Roman" w:hAnsi="Times New Roman" w:cs="Times New Roman"/>
          <w:sz w:val="24"/>
          <w:szCs w:val="24"/>
        </w:rPr>
        <w:t>The fastener type score (</w:t>
      </w:r>
      <w:r w:rsidRPr="00CD1EFB">
        <w:rPr>
          <w:rFonts w:ascii="Times New Roman" w:eastAsia="Times New Roman" w:hAnsi="Times New Roman" w:cs="Times New Roman"/>
          <w:i/>
          <w:iCs/>
          <w:sz w:val="24"/>
          <w:szCs w:val="24"/>
        </w:rPr>
        <w:t>S</w:t>
      </w:r>
      <w:r w:rsidRPr="00CD1EFB">
        <w:rPr>
          <w:rFonts w:ascii="Times New Roman" w:eastAsia="Times New Roman" w:hAnsi="Times New Roman" w:cs="Times New Roman"/>
          <w:i/>
          <w:iCs/>
          <w:sz w:val="24"/>
          <w:szCs w:val="24"/>
          <w:vertAlign w:val="subscript"/>
        </w:rPr>
        <w:t>F</w:t>
      </w:r>
      <w:r>
        <w:rPr>
          <w:rFonts w:ascii="Times New Roman" w:eastAsia="Times New Roman" w:hAnsi="Times New Roman" w:cs="Times New Roman"/>
          <w:sz w:val="24"/>
          <w:szCs w:val="24"/>
        </w:rPr>
        <w:t>) of the tumble dryer is calculated by adapting formula (</w:t>
      </w:r>
      <w:r w:rsidR="0081352F">
        <w:rPr>
          <w:rFonts w:ascii="Times New Roman" w:eastAsia="Times New Roman" w:hAnsi="Times New Roman" w:cs="Times New Roman"/>
          <w:sz w:val="24"/>
          <w:szCs w:val="24"/>
        </w:rPr>
        <w:t>2</w:t>
      </w:r>
      <w:r>
        <w:rPr>
          <w:rFonts w:ascii="Times New Roman" w:eastAsia="Times New Roman" w:hAnsi="Times New Roman" w:cs="Times New Roman"/>
          <w:sz w:val="24"/>
          <w:szCs w:val="24"/>
        </w:rPr>
        <w:t>) to the fastener type parameter:</w:t>
      </w:r>
    </w:p>
    <w:p w14:paraId="584CBA65" w14:textId="1A04A052" w:rsidR="00BB1753" w:rsidRPr="00612048" w:rsidRDefault="00037509" w:rsidP="00DC2F3C">
      <w:pPr>
        <w:spacing w:before="240"/>
        <w:jc w:val="both"/>
        <w:rPr>
          <w:rFonts w:ascii="Times New Roman" w:eastAsiaTheme="minorEastAsia" w:hAnsi="Times New Roman" w:cs="Times New Roman"/>
        </w:rPr>
      </w:pPr>
      <m:oMath>
        <m:sSub>
          <m:sSubPr>
            <m:ctrlPr>
              <w:rPr>
                <w:rFonts w:ascii="Cambria Math" w:hAnsi="Cambria Math"/>
                <w:i/>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DB</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D</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M</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MEB</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MEB</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F</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MC</m:t>
            </m:r>
          </m:sub>
        </m:sSub>
        <m:r>
          <w:rPr>
            <w:rFonts w:ascii="Cambria Math" w:hAnsi="Cambria Math"/>
          </w:rPr>
          <m:t>×</m:t>
        </m:r>
        <m:sSub>
          <m:sSubPr>
            <m:ctrlPr>
              <w:rPr>
                <w:rFonts w:ascii="Cambria Math" w:hAnsi="Cambria Math"/>
                <w:i/>
              </w:rPr>
            </m:ctrlPr>
          </m:sSubPr>
          <m:e>
            <m:r>
              <w:rPr>
                <w:rFonts w:ascii="Cambria Math" w:hAnsi="Cambria Math"/>
              </w:rPr>
              <m:t>SF</m:t>
            </m:r>
          </m:e>
          <m:sub>
            <m:r>
              <w:rPr>
                <w:rFonts w:ascii="Cambria Math" w:hAnsi="Cambria Math"/>
              </w:rPr>
              <m:t>MC</m:t>
            </m:r>
          </m:sub>
        </m:sSub>
      </m:oMath>
      <w:r w:rsidR="00495D77">
        <w:rPr>
          <w:rFonts w:ascii="Times New Roman" w:eastAsiaTheme="minorEastAsia" w:hAnsi="Times New Roman" w:cs="Times New Roman"/>
        </w:rPr>
        <w:t xml:space="preserve"> (5)</w:t>
      </w:r>
    </w:p>
    <w:p w14:paraId="2A50E92D" w14:textId="51E1CD72" w:rsidR="00612048" w:rsidRPr="00CF2A91" w:rsidRDefault="00495D77" w:rsidP="00DC2F3C">
      <w:pPr>
        <w:spacing w:before="240"/>
        <w:jc w:val="both"/>
        <w:rPr>
          <w:rFonts w:ascii="Times New Roman" w:eastAsia="Times New Roman" w:hAnsi="Times New Roman" w:cs="Times New Roman"/>
          <w:sz w:val="24"/>
          <w:szCs w:val="24"/>
        </w:rPr>
      </w:pPr>
      <w:r w:rsidRPr="00495D77">
        <w:rPr>
          <w:rFonts w:ascii="Times New Roman" w:eastAsia="Times New Roman" w:hAnsi="Times New Roman" w:cs="Times New Roman"/>
          <w:sz w:val="24"/>
          <w:szCs w:val="24"/>
        </w:rPr>
        <w:lastRenderedPageBreak/>
        <w:t xml:space="preserve">Each </w:t>
      </w:r>
      <m:oMath>
        <m:sSub>
          <m:sSubPr>
            <m:ctrlPr>
              <w:rPr>
                <w:rFonts w:ascii="Cambria Math" w:hAnsi="Cambria Math" w:cs="Times New Roman"/>
                <w:i/>
                <w:sz w:val="24"/>
                <w:szCs w:val="24"/>
              </w:rPr>
            </m:ctrlPr>
          </m:sSubPr>
          <m:e>
            <m:r>
              <w:rPr>
                <w:rFonts w:ascii="Cambria Math" w:hAnsi="Cambria Math" w:cs="Times New Roman"/>
                <w:sz w:val="24"/>
                <w:szCs w:val="24"/>
              </w:rPr>
              <m:t>SF</m:t>
            </m:r>
          </m:e>
          <m:sub>
            <m:r>
              <w:rPr>
                <w:rFonts w:ascii="Cambria Math" w:hAnsi="Cambria Math" w:cs="Times New Roman"/>
                <w:sz w:val="24"/>
                <w:szCs w:val="24"/>
              </w:rPr>
              <m:t>PPn</m:t>
            </m:r>
          </m:sub>
        </m:sSub>
      </m:oMath>
      <w:r w:rsidRPr="00495D77">
        <w:rPr>
          <w:rFonts w:ascii="Times New Roman" w:eastAsia="Times New Roman" w:hAnsi="Times New Roman" w:cs="Times New Roman"/>
          <w:sz w:val="24"/>
          <w:szCs w:val="24"/>
        </w:rPr>
        <w:t xml:space="preserve"> in formula (4) is assigned according to the level of removability and reusability of the fasteners used in the device assembly, in accordance with Table 4.</w:t>
      </w:r>
      <w:r w:rsidR="00CF2A91">
        <w:rPr>
          <w:rFonts w:ascii="Times New Roman" w:eastAsia="Times New Roman" w:hAnsi="Times New Roman" w:cs="Times New Roman"/>
          <w:sz w:val="24"/>
          <w:szCs w:val="24"/>
        </w:rPr>
        <w:t xml:space="preserve"> </w:t>
      </w:r>
      <w:r w:rsidR="00CF2A91" w:rsidRPr="00CF2A91">
        <w:rPr>
          <w:rFonts w:ascii="Times New Roman" w:eastAsia="Times New Roman" w:hAnsi="Times New Roman" w:cs="Times New Roman"/>
          <w:sz w:val="24"/>
          <w:szCs w:val="24"/>
        </w:rPr>
        <w:t>In case different types of fasteners are encountered in the disassembly of a priority part, the lowest score shall be considered.</w:t>
      </w:r>
    </w:p>
    <w:tbl>
      <w:tblPr>
        <w:tblStyle w:val="TableGrid"/>
        <w:tblW w:w="0" w:type="auto"/>
        <w:jc w:val="center"/>
        <w:tblLook w:val="04A0" w:firstRow="1" w:lastRow="0" w:firstColumn="1" w:lastColumn="0" w:noHBand="0" w:noVBand="1"/>
      </w:tblPr>
      <w:tblGrid>
        <w:gridCol w:w="2239"/>
        <w:gridCol w:w="954"/>
      </w:tblGrid>
      <w:tr w:rsidR="00495D77" w:rsidRPr="00495D77" w14:paraId="72F32C0A" w14:textId="77777777" w:rsidTr="00495D77">
        <w:trPr>
          <w:jc w:val="center"/>
        </w:trPr>
        <w:tc>
          <w:tcPr>
            <w:tcW w:w="2239" w:type="dxa"/>
          </w:tcPr>
          <w:p w14:paraId="6A04FB98" w14:textId="77777777" w:rsidR="00495D77" w:rsidRPr="00495D77" w:rsidRDefault="00495D77" w:rsidP="009D32DC">
            <w:pPr>
              <w:rPr>
                <w:rFonts w:ascii="Times New Roman" w:hAnsi="Times New Roman" w:cs="Times New Roman"/>
                <w:b/>
                <w:bCs/>
                <w:sz w:val="24"/>
                <w:szCs w:val="24"/>
              </w:rPr>
            </w:pPr>
            <w:r w:rsidRPr="00495D77">
              <w:rPr>
                <w:rFonts w:ascii="Times New Roman" w:hAnsi="Times New Roman" w:cs="Times New Roman"/>
                <w:b/>
                <w:bCs/>
                <w:sz w:val="24"/>
                <w:szCs w:val="24"/>
              </w:rPr>
              <w:t>Fastener type</w:t>
            </w:r>
          </w:p>
        </w:tc>
        <w:tc>
          <w:tcPr>
            <w:tcW w:w="861" w:type="dxa"/>
          </w:tcPr>
          <w:p w14:paraId="5C34DC45" w14:textId="19402B77" w:rsidR="00495D77" w:rsidRPr="00495D77" w:rsidRDefault="00495D77" w:rsidP="009D32DC">
            <w:pPr>
              <w:jc w:val="center"/>
              <w:rPr>
                <w:rFonts w:ascii="Times New Roman" w:hAnsi="Times New Roman" w:cs="Times New Roman"/>
                <w:b/>
                <w:bCs/>
                <w:sz w:val="24"/>
                <w:szCs w:val="24"/>
              </w:rPr>
            </w:pPr>
            <w:r w:rsidRPr="00495D77">
              <w:rPr>
                <w:rFonts w:ascii="Times New Roman" w:hAnsi="Times New Roman" w:cs="Times New Roman"/>
                <w:b/>
                <w:bCs/>
                <w:sz w:val="24"/>
                <w:szCs w:val="24"/>
              </w:rPr>
              <w:t>Score (</w:t>
            </w:r>
            <w:r w:rsidRPr="00CD1EFB">
              <w:rPr>
                <w:rFonts w:ascii="Times New Roman" w:hAnsi="Times New Roman" w:cs="Times New Roman"/>
                <w:b/>
                <w:bCs/>
                <w:i/>
                <w:iCs/>
                <w:sz w:val="24"/>
                <w:szCs w:val="24"/>
              </w:rPr>
              <w:t>SF</w:t>
            </w:r>
            <w:r w:rsidRPr="00CD1EFB">
              <w:rPr>
                <w:rFonts w:ascii="Times New Roman" w:hAnsi="Times New Roman" w:cs="Times New Roman"/>
                <w:b/>
                <w:bCs/>
                <w:i/>
                <w:iCs/>
                <w:sz w:val="24"/>
                <w:szCs w:val="24"/>
                <w:vertAlign w:val="subscript"/>
              </w:rPr>
              <w:t>PPn</w:t>
            </w:r>
            <w:r w:rsidR="00694E81" w:rsidRPr="00694E81">
              <w:rPr>
                <w:rFonts w:ascii="Times New Roman" w:hAnsi="Times New Roman" w:cs="Times New Roman"/>
                <w:b/>
                <w:bCs/>
                <w:sz w:val="24"/>
                <w:szCs w:val="24"/>
              </w:rPr>
              <w:t>)</w:t>
            </w:r>
          </w:p>
        </w:tc>
      </w:tr>
      <w:tr w:rsidR="00495D77" w:rsidRPr="00495D77" w14:paraId="2ACC6E46" w14:textId="77777777" w:rsidTr="00495D77">
        <w:trPr>
          <w:jc w:val="center"/>
        </w:trPr>
        <w:tc>
          <w:tcPr>
            <w:tcW w:w="2239" w:type="dxa"/>
          </w:tcPr>
          <w:p w14:paraId="50F1552A" w14:textId="04E48298" w:rsidR="00495D77" w:rsidRPr="00495D77" w:rsidRDefault="00495D77" w:rsidP="00495D77">
            <w:pPr>
              <w:rPr>
                <w:rFonts w:ascii="Times New Roman" w:hAnsi="Times New Roman" w:cs="Times New Roman"/>
                <w:sz w:val="24"/>
                <w:szCs w:val="24"/>
              </w:rPr>
            </w:pPr>
            <w:r w:rsidRPr="00495D77">
              <w:rPr>
                <w:rFonts w:ascii="Times New Roman" w:hAnsi="Times New Roman" w:cs="Times New Roman"/>
                <w:sz w:val="24"/>
                <w:szCs w:val="24"/>
              </w:rPr>
              <w:t>Reusable</w:t>
            </w:r>
          </w:p>
        </w:tc>
        <w:tc>
          <w:tcPr>
            <w:tcW w:w="861" w:type="dxa"/>
          </w:tcPr>
          <w:p w14:paraId="73414A4D" w14:textId="4897D18D" w:rsidR="00495D77" w:rsidRPr="00495D77" w:rsidRDefault="00495D77" w:rsidP="00495D77">
            <w:pPr>
              <w:jc w:val="center"/>
              <w:rPr>
                <w:rFonts w:ascii="Times New Roman" w:hAnsi="Times New Roman" w:cs="Times New Roman"/>
                <w:sz w:val="24"/>
                <w:szCs w:val="24"/>
                <w:lang w:val="nl-NL"/>
              </w:rPr>
            </w:pPr>
            <w:r w:rsidRPr="00495D77">
              <w:rPr>
                <w:rFonts w:ascii="Times New Roman" w:hAnsi="Times New Roman" w:cs="Times New Roman"/>
                <w:sz w:val="24"/>
                <w:szCs w:val="24"/>
                <w:lang w:val="nl-NL"/>
              </w:rPr>
              <w:t>10</w:t>
            </w:r>
          </w:p>
        </w:tc>
      </w:tr>
      <w:tr w:rsidR="00495D77" w:rsidRPr="00495D77" w14:paraId="626752E5" w14:textId="77777777" w:rsidTr="00495D77">
        <w:trPr>
          <w:jc w:val="center"/>
        </w:trPr>
        <w:tc>
          <w:tcPr>
            <w:tcW w:w="2239" w:type="dxa"/>
          </w:tcPr>
          <w:p w14:paraId="3A5F97DE" w14:textId="034EE644" w:rsidR="00495D77" w:rsidRPr="00495D77" w:rsidRDefault="00495D77" w:rsidP="00495D77">
            <w:pPr>
              <w:rPr>
                <w:rFonts w:ascii="Times New Roman" w:hAnsi="Times New Roman" w:cs="Times New Roman"/>
                <w:sz w:val="24"/>
                <w:szCs w:val="24"/>
              </w:rPr>
            </w:pPr>
            <w:r w:rsidRPr="00495D77">
              <w:rPr>
                <w:rFonts w:ascii="Times New Roman" w:hAnsi="Times New Roman" w:cs="Times New Roman"/>
                <w:sz w:val="24"/>
                <w:szCs w:val="24"/>
              </w:rPr>
              <w:t>Resupplied</w:t>
            </w:r>
          </w:p>
        </w:tc>
        <w:tc>
          <w:tcPr>
            <w:tcW w:w="861" w:type="dxa"/>
          </w:tcPr>
          <w:p w14:paraId="0051EFC0" w14:textId="0717D951" w:rsidR="00495D77" w:rsidRPr="00495D77" w:rsidRDefault="000923D1" w:rsidP="00495D77">
            <w:pPr>
              <w:jc w:val="center"/>
              <w:rPr>
                <w:rFonts w:ascii="Times New Roman" w:hAnsi="Times New Roman" w:cs="Times New Roman"/>
                <w:sz w:val="24"/>
                <w:szCs w:val="24"/>
                <w:lang w:val="nl-NL"/>
              </w:rPr>
            </w:pPr>
            <w:r>
              <w:rPr>
                <w:rFonts w:ascii="Times New Roman" w:hAnsi="Times New Roman" w:cs="Times New Roman"/>
                <w:sz w:val="24"/>
                <w:szCs w:val="24"/>
                <w:lang w:val="nl-NL"/>
              </w:rPr>
              <w:t>5</w:t>
            </w:r>
          </w:p>
        </w:tc>
      </w:tr>
      <w:tr w:rsidR="00495D77" w:rsidRPr="00495D77" w14:paraId="302F65BF" w14:textId="77777777" w:rsidTr="00495D77">
        <w:trPr>
          <w:jc w:val="center"/>
        </w:trPr>
        <w:tc>
          <w:tcPr>
            <w:tcW w:w="2239" w:type="dxa"/>
          </w:tcPr>
          <w:p w14:paraId="12BC7F4D" w14:textId="012D884F" w:rsidR="00495D77" w:rsidRPr="00495D77" w:rsidRDefault="00495D77" w:rsidP="009D32DC">
            <w:pPr>
              <w:rPr>
                <w:rFonts w:ascii="Times New Roman" w:hAnsi="Times New Roman" w:cs="Times New Roman"/>
                <w:sz w:val="24"/>
                <w:szCs w:val="24"/>
              </w:rPr>
            </w:pPr>
            <w:r w:rsidRPr="00495D77">
              <w:rPr>
                <w:rFonts w:ascii="Times New Roman" w:hAnsi="Times New Roman" w:cs="Times New Roman"/>
                <w:sz w:val="24"/>
                <w:szCs w:val="24"/>
              </w:rPr>
              <w:t>Removable</w:t>
            </w:r>
          </w:p>
        </w:tc>
        <w:tc>
          <w:tcPr>
            <w:tcW w:w="861" w:type="dxa"/>
          </w:tcPr>
          <w:p w14:paraId="646C7773" w14:textId="386B9D22" w:rsidR="00495D77" w:rsidRPr="00495D77" w:rsidRDefault="000923D1" w:rsidP="009D32DC">
            <w:pPr>
              <w:jc w:val="center"/>
              <w:rPr>
                <w:rFonts w:ascii="Times New Roman" w:hAnsi="Times New Roman" w:cs="Times New Roman"/>
                <w:sz w:val="24"/>
                <w:szCs w:val="24"/>
                <w:lang w:val="nl-NL"/>
              </w:rPr>
            </w:pPr>
            <w:r>
              <w:rPr>
                <w:rFonts w:ascii="Times New Roman" w:hAnsi="Times New Roman" w:cs="Times New Roman"/>
                <w:sz w:val="24"/>
                <w:szCs w:val="24"/>
                <w:lang w:val="nl-NL"/>
              </w:rPr>
              <w:t>0</w:t>
            </w:r>
          </w:p>
        </w:tc>
      </w:tr>
    </w:tbl>
    <w:p w14:paraId="62CCE89F" w14:textId="155340F4" w:rsidR="00495D77" w:rsidRDefault="00495D77" w:rsidP="00495D77">
      <w:pPr>
        <w:jc w:val="center"/>
        <w:rPr>
          <w:rFonts w:ascii="Times New Roman" w:hAnsi="Times New Roman" w:cs="Times New Roman"/>
          <w:sz w:val="24"/>
          <w:szCs w:val="24"/>
        </w:rPr>
      </w:pPr>
      <w:r>
        <w:rPr>
          <w:rFonts w:ascii="Times New Roman" w:hAnsi="Times New Roman" w:cs="Times New Roman"/>
          <w:i/>
          <w:sz w:val="20"/>
          <w:szCs w:val="20"/>
        </w:rPr>
        <w:t>Table 4</w:t>
      </w:r>
      <w:r w:rsidRPr="001A3E84">
        <w:rPr>
          <w:rFonts w:ascii="Times New Roman" w:hAnsi="Times New Roman" w:cs="Times New Roman"/>
          <w:i/>
          <w:sz w:val="20"/>
          <w:szCs w:val="20"/>
        </w:rPr>
        <w:t xml:space="preserve">. </w:t>
      </w:r>
      <w:r w:rsidR="00CF2A91">
        <w:rPr>
          <w:rFonts w:ascii="Times New Roman" w:hAnsi="Times New Roman" w:cs="Times New Roman"/>
          <w:i/>
          <w:sz w:val="20"/>
          <w:szCs w:val="20"/>
        </w:rPr>
        <w:t>Fastener type</w:t>
      </w:r>
      <w:r>
        <w:rPr>
          <w:rFonts w:ascii="Times New Roman" w:hAnsi="Times New Roman" w:cs="Times New Roman"/>
          <w:i/>
          <w:sz w:val="20"/>
          <w:szCs w:val="20"/>
        </w:rPr>
        <w:t xml:space="preserve"> score</w:t>
      </w:r>
    </w:p>
    <w:p w14:paraId="11C56150" w14:textId="525F8BA6" w:rsidR="00495D77" w:rsidRDefault="006D2A2C" w:rsidP="006D2A2C">
      <w:pPr>
        <w:pStyle w:val="Heading3"/>
      </w:pPr>
      <w:r>
        <w:t>Tool type score</w:t>
      </w:r>
    </w:p>
    <w:p w14:paraId="37CEB81F" w14:textId="1F1C1DBC" w:rsidR="006D2A2C" w:rsidRDefault="006D2A2C" w:rsidP="00DC2F3C">
      <w:pPr>
        <w:spacing w:before="240"/>
        <w:jc w:val="both"/>
        <w:rPr>
          <w:rFonts w:ascii="Times New Roman" w:hAnsi="Times New Roman" w:cs="Times New Roman"/>
          <w:sz w:val="24"/>
          <w:szCs w:val="24"/>
        </w:rPr>
      </w:pPr>
      <w:r>
        <w:rPr>
          <w:rFonts w:ascii="Times New Roman" w:eastAsia="Times New Roman" w:hAnsi="Times New Roman" w:cs="Times New Roman"/>
          <w:sz w:val="24"/>
          <w:szCs w:val="24"/>
        </w:rPr>
        <w:t>The tool type score (</w:t>
      </w:r>
      <w:r w:rsidRPr="00CD1EFB">
        <w:rPr>
          <w:rFonts w:ascii="Times New Roman" w:eastAsia="Times New Roman" w:hAnsi="Times New Roman" w:cs="Times New Roman"/>
          <w:i/>
          <w:iCs/>
          <w:sz w:val="24"/>
          <w:szCs w:val="24"/>
        </w:rPr>
        <w:t>S</w:t>
      </w:r>
      <w:r w:rsidRPr="00CD1EFB">
        <w:rPr>
          <w:rFonts w:ascii="Times New Roman" w:eastAsia="Times New Roman" w:hAnsi="Times New Roman" w:cs="Times New Roman"/>
          <w:i/>
          <w:iCs/>
          <w:sz w:val="24"/>
          <w:szCs w:val="24"/>
          <w:vertAlign w:val="subscript"/>
        </w:rPr>
        <w:t>F</w:t>
      </w:r>
      <w:r>
        <w:rPr>
          <w:rFonts w:ascii="Times New Roman" w:eastAsia="Times New Roman" w:hAnsi="Times New Roman" w:cs="Times New Roman"/>
          <w:sz w:val="24"/>
          <w:szCs w:val="24"/>
        </w:rPr>
        <w:t>) of the tumble dryer is calculated by adapting formula (</w:t>
      </w:r>
      <w:r w:rsidR="0081352F">
        <w:rPr>
          <w:rFonts w:ascii="Times New Roman" w:eastAsia="Times New Roman" w:hAnsi="Times New Roman" w:cs="Times New Roman"/>
          <w:sz w:val="24"/>
          <w:szCs w:val="24"/>
        </w:rPr>
        <w:t>2</w:t>
      </w:r>
      <w:r>
        <w:rPr>
          <w:rFonts w:ascii="Times New Roman" w:eastAsia="Times New Roman" w:hAnsi="Times New Roman" w:cs="Times New Roman"/>
          <w:sz w:val="24"/>
          <w:szCs w:val="24"/>
        </w:rPr>
        <w:t>) to the tool type parameter:</w:t>
      </w:r>
    </w:p>
    <w:p w14:paraId="285F895A" w14:textId="35EF888A" w:rsidR="00495D77" w:rsidRDefault="00037509" w:rsidP="00DC2F3C">
      <w:pPr>
        <w:spacing w:before="240"/>
        <w:jc w:val="both"/>
        <w:rPr>
          <w:rFonts w:ascii="Times New Roman" w:eastAsiaTheme="minorEastAsia" w:hAnsi="Times New Roman" w:cs="Times New Roman"/>
        </w:rPr>
      </w:p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WP</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DBe</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DB</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DB</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D</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M</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MEB</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MEB</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F</m:t>
            </m:r>
          </m:sub>
        </m:sSub>
        <m:r>
          <w:rPr>
            <w:rFonts w:ascii="Cambria Math" w:eastAsiaTheme="minorEastAsia" w:hAnsi="Cambria Math"/>
          </w:rPr>
          <m:t>+</m:t>
        </m:r>
        <m:sSub>
          <m:sSubPr>
            <m:ctrlPr>
              <w:rPr>
                <w:rFonts w:ascii="Cambria Math" w:hAnsi="Cambria Math"/>
                <w:i/>
              </w:rPr>
            </m:ctrlPr>
          </m:sSubPr>
          <m:e>
            <m:r>
              <w:rPr>
                <w:rFonts w:ascii="Cambria Math" w:hAnsi="Cambria Math"/>
              </w:rPr>
              <m:t>α</m:t>
            </m:r>
          </m:e>
          <m:sub>
            <m:r>
              <w:rPr>
                <w:rFonts w:ascii="Cambria Math" w:hAnsi="Cambria Math"/>
              </w:rPr>
              <m:t>MC</m:t>
            </m:r>
          </m:sub>
        </m:sSub>
        <m:r>
          <w:rPr>
            <w:rFonts w:ascii="Cambria Math" w:hAnsi="Cambria Math"/>
          </w:rPr>
          <m:t>×</m:t>
        </m:r>
        <m:sSub>
          <m:sSubPr>
            <m:ctrlPr>
              <w:rPr>
                <w:rFonts w:ascii="Cambria Math" w:hAnsi="Cambria Math"/>
                <w:i/>
              </w:rPr>
            </m:ctrlPr>
          </m:sSubPr>
          <m:e>
            <m:r>
              <w:rPr>
                <w:rFonts w:ascii="Cambria Math" w:hAnsi="Cambria Math"/>
              </w:rPr>
              <m:t>ST</m:t>
            </m:r>
          </m:e>
          <m:sub>
            <m:r>
              <w:rPr>
                <w:rFonts w:ascii="Cambria Math" w:hAnsi="Cambria Math"/>
              </w:rPr>
              <m:t>MC</m:t>
            </m:r>
          </m:sub>
        </m:sSub>
      </m:oMath>
      <w:r w:rsidR="00CF2A91">
        <w:rPr>
          <w:rFonts w:ascii="Times New Roman" w:eastAsiaTheme="minorEastAsia" w:hAnsi="Times New Roman" w:cs="Times New Roman"/>
        </w:rPr>
        <w:t xml:space="preserve"> (5)</w:t>
      </w:r>
    </w:p>
    <w:p w14:paraId="4155DCF1" w14:textId="1EA2D6E0" w:rsidR="00CF2A91" w:rsidRPr="00CF2A91" w:rsidRDefault="00CF2A91" w:rsidP="00DC2F3C">
      <w:pPr>
        <w:spacing w:before="240"/>
        <w:jc w:val="both"/>
        <w:rPr>
          <w:rFonts w:ascii="Times New Roman" w:eastAsia="Times New Roman" w:hAnsi="Times New Roman" w:cs="Times New Roman"/>
          <w:sz w:val="24"/>
          <w:szCs w:val="24"/>
        </w:rPr>
      </w:pPr>
      <w:r w:rsidRPr="00CF2A91">
        <w:rPr>
          <w:rFonts w:ascii="Times New Roman" w:eastAsia="Times New Roman" w:hAnsi="Times New Roman" w:cs="Times New Roman"/>
          <w:sz w:val="24"/>
          <w:szCs w:val="24"/>
        </w:rPr>
        <w:t xml:space="preserve">Each </w:t>
      </w:r>
      <m:oMath>
        <m:sSub>
          <m:sSubPr>
            <m:ctrlPr>
              <w:rPr>
                <w:rFonts w:ascii="Cambria Math" w:hAnsi="Cambria Math" w:cs="Times New Roman"/>
                <w:i/>
                <w:sz w:val="24"/>
                <w:szCs w:val="24"/>
              </w:rPr>
            </m:ctrlPr>
          </m:sSubPr>
          <m:e>
            <m:r>
              <w:rPr>
                <w:rFonts w:ascii="Cambria Math" w:hAnsi="Cambria Math" w:cs="Times New Roman"/>
                <w:sz w:val="24"/>
                <w:szCs w:val="24"/>
              </w:rPr>
              <m:t>ST</m:t>
            </m:r>
          </m:e>
          <m:sub>
            <m:r>
              <w:rPr>
                <w:rFonts w:ascii="Cambria Math" w:hAnsi="Cambria Math" w:cs="Times New Roman"/>
                <w:sz w:val="24"/>
                <w:szCs w:val="24"/>
              </w:rPr>
              <m:t>PPn</m:t>
            </m:r>
          </m:sub>
        </m:sSub>
      </m:oMath>
      <w:r w:rsidRPr="00CF2A91">
        <w:rPr>
          <w:rFonts w:ascii="Times New Roman" w:eastAsia="Times New Roman" w:hAnsi="Times New Roman" w:cs="Times New Roman"/>
          <w:sz w:val="24"/>
          <w:szCs w:val="24"/>
        </w:rPr>
        <w:t xml:space="preserve"> in formula (5) is assigned according to the complexity and availability of the tools needed for its replacement, in accordance with Table 5. Where different types of tools are needed for the disassembly of a priority part, the lowest score shall be considered.</w:t>
      </w:r>
    </w:p>
    <w:tbl>
      <w:tblPr>
        <w:tblStyle w:val="TableGrid"/>
        <w:tblW w:w="0" w:type="auto"/>
        <w:tblInd w:w="1308" w:type="dxa"/>
        <w:tblLook w:val="04A0" w:firstRow="1" w:lastRow="0" w:firstColumn="1" w:lastColumn="0" w:noHBand="0" w:noVBand="1"/>
      </w:tblPr>
      <w:tblGrid>
        <w:gridCol w:w="5640"/>
        <w:gridCol w:w="941"/>
      </w:tblGrid>
      <w:tr w:rsidR="00CF2A91" w:rsidRPr="00694E81" w14:paraId="576B2655" w14:textId="77777777" w:rsidTr="009D32DC">
        <w:tc>
          <w:tcPr>
            <w:tcW w:w="5640" w:type="dxa"/>
          </w:tcPr>
          <w:p w14:paraId="3A4007BE" w14:textId="77777777" w:rsidR="00CF2A91" w:rsidRPr="00694E81" w:rsidRDefault="00CF2A91" w:rsidP="009D32DC">
            <w:pPr>
              <w:rPr>
                <w:rFonts w:ascii="Times New Roman" w:hAnsi="Times New Roman" w:cs="Times New Roman"/>
                <w:b/>
                <w:bCs/>
                <w:sz w:val="24"/>
                <w:szCs w:val="24"/>
              </w:rPr>
            </w:pPr>
            <w:r w:rsidRPr="00694E81">
              <w:rPr>
                <w:rFonts w:ascii="Times New Roman" w:hAnsi="Times New Roman" w:cs="Times New Roman"/>
                <w:b/>
                <w:bCs/>
                <w:sz w:val="24"/>
                <w:szCs w:val="24"/>
              </w:rPr>
              <w:t>Use of tools</w:t>
            </w:r>
          </w:p>
        </w:tc>
        <w:tc>
          <w:tcPr>
            <w:tcW w:w="790" w:type="dxa"/>
          </w:tcPr>
          <w:p w14:paraId="4575E8A7" w14:textId="0DA1EB3F" w:rsidR="00CF2A91" w:rsidRPr="00694E81" w:rsidRDefault="00CF2A91" w:rsidP="009D32DC">
            <w:pPr>
              <w:jc w:val="center"/>
              <w:rPr>
                <w:rFonts w:ascii="Times New Roman" w:hAnsi="Times New Roman" w:cs="Times New Roman"/>
                <w:b/>
                <w:bCs/>
                <w:sz w:val="24"/>
                <w:szCs w:val="24"/>
              </w:rPr>
            </w:pPr>
            <w:r w:rsidRPr="00694E81">
              <w:rPr>
                <w:rFonts w:ascii="Times New Roman" w:hAnsi="Times New Roman" w:cs="Times New Roman"/>
                <w:b/>
                <w:bCs/>
                <w:sz w:val="24"/>
                <w:szCs w:val="24"/>
              </w:rPr>
              <w:t>Score</w:t>
            </w:r>
            <w:r w:rsidR="00694E81">
              <w:rPr>
                <w:rFonts w:ascii="Times New Roman" w:hAnsi="Times New Roman" w:cs="Times New Roman"/>
                <w:b/>
                <w:bCs/>
                <w:sz w:val="24"/>
                <w:szCs w:val="24"/>
              </w:rPr>
              <w:t xml:space="preserve"> </w:t>
            </w:r>
            <w:r w:rsidR="00694E81" w:rsidRPr="00495D77">
              <w:rPr>
                <w:rFonts w:ascii="Times New Roman" w:hAnsi="Times New Roman" w:cs="Times New Roman"/>
                <w:b/>
                <w:bCs/>
                <w:sz w:val="24"/>
                <w:szCs w:val="24"/>
              </w:rPr>
              <w:t>(</w:t>
            </w:r>
            <w:r w:rsidR="00694E81" w:rsidRPr="00CD1EFB">
              <w:rPr>
                <w:rFonts w:ascii="Times New Roman" w:hAnsi="Times New Roman" w:cs="Times New Roman"/>
                <w:b/>
                <w:bCs/>
                <w:i/>
                <w:iCs/>
                <w:sz w:val="24"/>
                <w:szCs w:val="24"/>
              </w:rPr>
              <w:t>ST</w:t>
            </w:r>
            <w:r w:rsidR="00694E81" w:rsidRPr="00CD1EFB">
              <w:rPr>
                <w:rFonts w:ascii="Times New Roman" w:hAnsi="Times New Roman" w:cs="Times New Roman"/>
                <w:b/>
                <w:bCs/>
                <w:i/>
                <w:iCs/>
                <w:sz w:val="24"/>
                <w:szCs w:val="24"/>
                <w:vertAlign w:val="subscript"/>
              </w:rPr>
              <w:t>PPn</w:t>
            </w:r>
            <w:r w:rsidR="00694E81" w:rsidRPr="00694E81">
              <w:rPr>
                <w:rFonts w:ascii="Times New Roman" w:hAnsi="Times New Roman" w:cs="Times New Roman"/>
                <w:b/>
                <w:bCs/>
                <w:sz w:val="24"/>
                <w:szCs w:val="24"/>
              </w:rPr>
              <w:t>)</w:t>
            </w:r>
          </w:p>
        </w:tc>
      </w:tr>
      <w:tr w:rsidR="00CF2A91" w:rsidRPr="00694E81" w14:paraId="67AFA2DE" w14:textId="77777777" w:rsidTr="009D32DC">
        <w:tc>
          <w:tcPr>
            <w:tcW w:w="5640" w:type="dxa"/>
          </w:tcPr>
          <w:p w14:paraId="5E6B8042" w14:textId="722682A7" w:rsidR="00CF2A91" w:rsidRPr="00694E81" w:rsidRDefault="00CF2A91" w:rsidP="00694E81">
            <w:pPr>
              <w:rPr>
                <w:rFonts w:ascii="Times New Roman" w:hAnsi="Times New Roman" w:cs="Times New Roman"/>
                <w:sz w:val="24"/>
                <w:szCs w:val="24"/>
              </w:rPr>
            </w:pPr>
            <w:r w:rsidRPr="00694E81">
              <w:rPr>
                <w:rFonts w:ascii="Times New Roman" w:hAnsi="Times New Roman" w:cs="Times New Roman"/>
                <w:sz w:val="24"/>
                <w:szCs w:val="24"/>
              </w:rPr>
              <w:t>Repair possible without tools, with commercially available tools or with tools supplied with the spare part or with the household tumble dryer</w:t>
            </w:r>
          </w:p>
        </w:tc>
        <w:tc>
          <w:tcPr>
            <w:tcW w:w="790" w:type="dxa"/>
          </w:tcPr>
          <w:p w14:paraId="7EB1023C" w14:textId="5ED32CD0" w:rsidR="00CF2A91" w:rsidRPr="00694E81" w:rsidRDefault="00CF2A91" w:rsidP="00694E81">
            <w:pPr>
              <w:jc w:val="center"/>
              <w:rPr>
                <w:rFonts w:ascii="Times New Roman" w:hAnsi="Times New Roman" w:cs="Times New Roman"/>
                <w:sz w:val="24"/>
                <w:szCs w:val="24"/>
                <w:lang w:val="nl-NL"/>
              </w:rPr>
            </w:pPr>
            <w:r w:rsidRPr="00694E81">
              <w:rPr>
                <w:rFonts w:ascii="Times New Roman" w:hAnsi="Times New Roman" w:cs="Times New Roman"/>
                <w:sz w:val="24"/>
                <w:szCs w:val="24"/>
                <w:lang w:val="nl-NL"/>
              </w:rPr>
              <w:t>10</w:t>
            </w:r>
          </w:p>
        </w:tc>
      </w:tr>
      <w:tr w:rsidR="00694E81" w:rsidRPr="00694E81" w14:paraId="1DD48493" w14:textId="77777777" w:rsidTr="009D32DC">
        <w:tc>
          <w:tcPr>
            <w:tcW w:w="5640" w:type="dxa"/>
          </w:tcPr>
          <w:p w14:paraId="2374A42C" w14:textId="06496613" w:rsidR="00694E81" w:rsidRPr="00694E81" w:rsidRDefault="00694E81" w:rsidP="009D32DC">
            <w:pPr>
              <w:rPr>
                <w:rFonts w:ascii="Times New Roman" w:hAnsi="Times New Roman" w:cs="Times New Roman"/>
                <w:sz w:val="24"/>
                <w:szCs w:val="24"/>
              </w:rPr>
            </w:pPr>
            <w:r w:rsidRPr="00694E81">
              <w:rPr>
                <w:rFonts w:ascii="Times New Roman" w:hAnsi="Times New Roman" w:cs="Times New Roman"/>
                <w:sz w:val="24"/>
                <w:szCs w:val="24"/>
              </w:rPr>
              <w:t>Repair only possible with tools that are exclusively available to a professional repairer</w:t>
            </w:r>
          </w:p>
        </w:tc>
        <w:tc>
          <w:tcPr>
            <w:tcW w:w="790" w:type="dxa"/>
          </w:tcPr>
          <w:p w14:paraId="4CCADEDC" w14:textId="0B752656" w:rsidR="00694E81" w:rsidRPr="00694E81" w:rsidRDefault="00694E81" w:rsidP="009D32DC">
            <w:pPr>
              <w:jc w:val="center"/>
              <w:rPr>
                <w:rFonts w:ascii="Times New Roman" w:hAnsi="Times New Roman" w:cs="Times New Roman"/>
                <w:sz w:val="24"/>
                <w:szCs w:val="24"/>
              </w:rPr>
            </w:pPr>
            <w:r w:rsidRPr="00694E81">
              <w:rPr>
                <w:rFonts w:ascii="Times New Roman" w:hAnsi="Times New Roman" w:cs="Times New Roman"/>
                <w:sz w:val="24"/>
                <w:szCs w:val="24"/>
              </w:rPr>
              <w:t>6</w:t>
            </w:r>
          </w:p>
        </w:tc>
      </w:tr>
      <w:tr w:rsidR="00694E81" w:rsidRPr="00694E81" w14:paraId="448FBE6A" w14:textId="77777777" w:rsidTr="009D32DC">
        <w:tc>
          <w:tcPr>
            <w:tcW w:w="5640" w:type="dxa"/>
          </w:tcPr>
          <w:p w14:paraId="456F96E4" w14:textId="057C4524" w:rsidR="00694E81" w:rsidRPr="00694E81" w:rsidRDefault="00694E81" w:rsidP="009D32DC">
            <w:pPr>
              <w:rPr>
                <w:rFonts w:ascii="Times New Roman" w:hAnsi="Times New Roman" w:cs="Times New Roman"/>
                <w:sz w:val="24"/>
                <w:szCs w:val="24"/>
              </w:rPr>
            </w:pPr>
            <w:r w:rsidRPr="00694E81">
              <w:rPr>
                <w:rFonts w:ascii="Times New Roman" w:hAnsi="Times New Roman" w:cs="Times New Roman"/>
                <w:sz w:val="24"/>
                <w:szCs w:val="24"/>
              </w:rPr>
              <w:t>Repair only possible with tools that are exclusively available to authorised service partners</w:t>
            </w:r>
          </w:p>
        </w:tc>
        <w:tc>
          <w:tcPr>
            <w:tcW w:w="790" w:type="dxa"/>
          </w:tcPr>
          <w:p w14:paraId="64FC77E0" w14:textId="284C63D2" w:rsidR="00694E81" w:rsidRPr="00694E81" w:rsidRDefault="00694E81" w:rsidP="009D32DC">
            <w:pPr>
              <w:jc w:val="center"/>
              <w:rPr>
                <w:rFonts w:ascii="Times New Roman" w:hAnsi="Times New Roman" w:cs="Times New Roman"/>
                <w:sz w:val="24"/>
                <w:szCs w:val="24"/>
              </w:rPr>
            </w:pPr>
            <w:r w:rsidRPr="00694E81">
              <w:rPr>
                <w:rFonts w:ascii="Times New Roman" w:hAnsi="Times New Roman" w:cs="Times New Roman"/>
                <w:sz w:val="24"/>
                <w:szCs w:val="24"/>
              </w:rPr>
              <w:t>2</w:t>
            </w:r>
          </w:p>
        </w:tc>
      </w:tr>
    </w:tbl>
    <w:p w14:paraId="08157542" w14:textId="258C7A65" w:rsidR="00CF2A91" w:rsidRDefault="00694E81" w:rsidP="00694E81">
      <w:pPr>
        <w:jc w:val="center"/>
        <w:rPr>
          <w:rFonts w:ascii="Times New Roman" w:eastAsia="Times New Roman" w:hAnsi="Times New Roman" w:cs="Times New Roman"/>
          <w:sz w:val="24"/>
          <w:szCs w:val="24"/>
        </w:rPr>
      </w:pPr>
      <w:r>
        <w:rPr>
          <w:rFonts w:ascii="Times New Roman" w:hAnsi="Times New Roman" w:cs="Times New Roman"/>
          <w:i/>
          <w:sz w:val="20"/>
          <w:szCs w:val="20"/>
        </w:rPr>
        <w:t>Table 5</w:t>
      </w:r>
      <w:r w:rsidRPr="001A3E84">
        <w:rPr>
          <w:rFonts w:ascii="Times New Roman" w:hAnsi="Times New Roman" w:cs="Times New Roman"/>
          <w:i/>
          <w:sz w:val="20"/>
          <w:szCs w:val="20"/>
        </w:rPr>
        <w:t xml:space="preserve">. </w:t>
      </w:r>
      <w:r>
        <w:rPr>
          <w:rFonts w:ascii="Times New Roman" w:hAnsi="Times New Roman" w:cs="Times New Roman"/>
          <w:i/>
          <w:sz w:val="20"/>
          <w:szCs w:val="20"/>
        </w:rPr>
        <w:t>Tool type score</w:t>
      </w:r>
    </w:p>
    <w:p w14:paraId="4BADDCED" w14:textId="3F6CAF4C" w:rsidR="00680C45" w:rsidRDefault="00680C45" w:rsidP="001D27A8">
      <w:pPr>
        <w:pStyle w:val="Heading3"/>
      </w:pPr>
      <w:r>
        <w:t>Repair information score</w:t>
      </w:r>
    </w:p>
    <w:p w14:paraId="1767E8FE" w14:textId="57AED31E" w:rsidR="00680C45" w:rsidRDefault="00680C45" w:rsidP="00680C4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repair information</w:t>
      </w:r>
      <w:r w:rsidRPr="001D27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score </w:t>
      </w:r>
      <w:r w:rsidRPr="001D27A8">
        <w:rPr>
          <w:rFonts w:ascii="Times New Roman" w:eastAsia="Times New Roman" w:hAnsi="Times New Roman" w:cs="Times New Roman"/>
          <w:sz w:val="24"/>
          <w:szCs w:val="24"/>
        </w:rPr>
        <w:t>(</w:t>
      </w:r>
      <w:r w:rsidRPr="00CD1EFB">
        <w:rPr>
          <w:rFonts w:ascii="Times New Roman" w:eastAsia="Times New Roman" w:hAnsi="Times New Roman" w:cs="Times New Roman"/>
          <w:i/>
          <w:iCs/>
          <w:sz w:val="24"/>
          <w:szCs w:val="24"/>
        </w:rPr>
        <w:t>S</w:t>
      </w:r>
      <w:r w:rsidRPr="00CD1EFB">
        <w:rPr>
          <w:rFonts w:ascii="Times New Roman" w:eastAsia="Times New Roman" w:hAnsi="Times New Roman" w:cs="Times New Roman"/>
          <w:i/>
          <w:iCs/>
          <w:sz w:val="24"/>
          <w:szCs w:val="24"/>
          <w:vertAlign w:val="subscript"/>
        </w:rPr>
        <w:t>RI</w:t>
      </w:r>
      <w:r w:rsidRPr="001D27A8">
        <w:rPr>
          <w:rFonts w:ascii="Times New Roman" w:eastAsia="Times New Roman" w:hAnsi="Times New Roman" w:cs="Times New Roman"/>
          <w:sz w:val="24"/>
          <w:szCs w:val="24"/>
        </w:rPr>
        <w:t>)is calculated at product level in accordance with Table 6.</w:t>
      </w:r>
    </w:p>
    <w:tbl>
      <w:tblPr>
        <w:tblStyle w:val="TableGrid"/>
        <w:tblW w:w="0" w:type="auto"/>
        <w:tblInd w:w="228" w:type="dxa"/>
        <w:tblLook w:val="04A0" w:firstRow="1" w:lastRow="0" w:firstColumn="1" w:lastColumn="0" w:noHBand="0" w:noVBand="1"/>
      </w:tblPr>
      <w:tblGrid>
        <w:gridCol w:w="7800"/>
        <w:gridCol w:w="840"/>
      </w:tblGrid>
      <w:tr w:rsidR="00680C45" w:rsidRPr="00680C45" w14:paraId="7DA44338" w14:textId="77777777" w:rsidTr="009D32DC">
        <w:tc>
          <w:tcPr>
            <w:tcW w:w="7800" w:type="dxa"/>
          </w:tcPr>
          <w:p w14:paraId="2E5E9016" w14:textId="77777777" w:rsidR="00680C45" w:rsidRPr="00680C45" w:rsidRDefault="00680C45" w:rsidP="009D32DC">
            <w:pPr>
              <w:rPr>
                <w:rFonts w:ascii="Times New Roman" w:hAnsi="Times New Roman" w:cs="Times New Roman"/>
                <w:b/>
                <w:bCs/>
                <w:sz w:val="24"/>
                <w:szCs w:val="24"/>
              </w:rPr>
            </w:pPr>
            <w:r w:rsidRPr="00680C45">
              <w:rPr>
                <w:rFonts w:ascii="Times New Roman" w:hAnsi="Times New Roman" w:cs="Times New Roman"/>
                <w:b/>
                <w:bCs/>
                <w:sz w:val="24"/>
                <w:szCs w:val="24"/>
              </w:rPr>
              <w:t>Use of tools</w:t>
            </w:r>
          </w:p>
        </w:tc>
        <w:tc>
          <w:tcPr>
            <w:tcW w:w="840" w:type="dxa"/>
          </w:tcPr>
          <w:p w14:paraId="7CCA72D5" w14:textId="2629E1FA" w:rsidR="00680C45" w:rsidRPr="00680C45" w:rsidRDefault="00680C45" w:rsidP="009D32DC">
            <w:pPr>
              <w:jc w:val="center"/>
              <w:rPr>
                <w:rFonts w:ascii="Times New Roman" w:hAnsi="Times New Roman" w:cs="Times New Roman"/>
                <w:b/>
                <w:bCs/>
                <w:sz w:val="24"/>
                <w:szCs w:val="24"/>
              </w:rPr>
            </w:pPr>
            <w:r w:rsidRPr="00680C45">
              <w:rPr>
                <w:rFonts w:ascii="Times New Roman" w:hAnsi="Times New Roman" w:cs="Times New Roman"/>
                <w:b/>
                <w:bCs/>
                <w:sz w:val="24"/>
                <w:szCs w:val="24"/>
              </w:rPr>
              <w:t>Score</w:t>
            </w:r>
            <w:r>
              <w:rPr>
                <w:rFonts w:ascii="Times New Roman" w:hAnsi="Times New Roman" w:cs="Times New Roman"/>
                <w:b/>
                <w:bCs/>
                <w:sz w:val="24"/>
                <w:szCs w:val="24"/>
              </w:rPr>
              <w:t xml:space="preserve"> (S</w:t>
            </w:r>
            <w:r w:rsidRPr="00680C45">
              <w:rPr>
                <w:rFonts w:ascii="Times New Roman" w:hAnsi="Times New Roman" w:cs="Times New Roman"/>
                <w:b/>
                <w:bCs/>
                <w:sz w:val="24"/>
                <w:szCs w:val="24"/>
                <w:vertAlign w:val="subscript"/>
              </w:rPr>
              <w:t>RI</w:t>
            </w:r>
            <w:r>
              <w:rPr>
                <w:rFonts w:ascii="Times New Roman" w:hAnsi="Times New Roman" w:cs="Times New Roman"/>
                <w:b/>
                <w:bCs/>
                <w:sz w:val="24"/>
                <w:szCs w:val="24"/>
              </w:rPr>
              <w:t>)</w:t>
            </w:r>
          </w:p>
        </w:tc>
      </w:tr>
      <w:tr w:rsidR="00680C45" w:rsidRPr="00680C45" w14:paraId="7BEB66F0" w14:textId="77777777" w:rsidTr="009D32DC">
        <w:tc>
          <w:tcPr>
            <w:tcW w:w="7800" w:type="dxa"/>
          </w:tcPr>
          <w:p w14:paraId="6795417C" w14:textId="57B3FF5C" w:rsidR="00680C45" w:rsidRPr="00680C45" w:rsidRDefault="00680C45" w:rsidP="00680C45">
            <w:pPr>
              <w:rPr>
                <w:rFonts w:ascii="Times New Roman" w:hAnsi="Times New Roman" w:cs="Times New Roman"/>
                <w:sz w:val="24"/>
                <w:szCs w:val="24"/>
              </w:rPr>
            </w:pPr>
            <w:r w:rsidRPr="00680C45">
              <w:rPr>
                <w:rFonts w:ascii="Times New Roman" w:hAnsi="Times New Roman" w:cs="Times New Roman"/>
                <w:sz w:val="24"/>
                <w:szCs w:val="24"/>
              </w:rPr>
              <w:t>Availability of repair information at no cost for professional repairers</w:t>
            </w:r>
          </w:p>
        </w:tc>
        <w:tc>
          <w:tcPr>
            <w:tcW w:w="840" w:type="dxa"/>
          </w:tcPr>
          <w:p w14:paraId="6E3ED7D8" w14:textId="2F5851E0" w:rsidR="00680C45" w:rsidRPr="00680C45" w:rsidRDefault="00680C45" w:rsidP="00680C45">
            <w:pPr>
              <w:jc w:val="center"/>
              <w:rPr>
                <w:rFonts w:ascii="Times New Roman" w:hAnsi="Times New Roman" w:cs="Times New Roman"/>
                <w:sz w:val="24"/>
                <w:szCs w:val="24"/>
                <w:lang w:val="nl-NL"/>
              </w:rPr>
            </w:pPr>
            <w:r w:rsidRPr="00680C45">
              <w:rPr>
                <w:rFonts w:ascii="Times New Roman" w:hAnsi="Times New Roman" w:cs="Times New Roman"/>
                <w:sz w:val="24"/>
                <w:szCs w:val="24"/>
                <w:lang w:val="nl-NL"/>
              </w:rPr>
              <w:t>10</w:t>
            </w:r>
          </w:p>
        </w:tc>
      </w:tr>
      <w:tr w:rsidR="00680C45" w:rsidRPr="00680C45" w14:paraId="55808568" w14:textId="77777777" w:rsidTr="009D32DC">
        <w:tc>
          <w:tcPr>
            <w:tcW w:w="7800" w:type="dxa"/>
          </w:tcPr>
          <w:p w14:paraId="08FC9367" w14:textId="6D4CB9C8" w:rsidR="00680C45" w:rsidRPr="00680C45" w:rsidRDefault="00680C45" w:rsidP="009D32DC">
            <w:pPr>
              <w:rPr>
                <w:rFonts w:ascii="Times New Roman" w:hAnsi="Times New Roman" w:cs="Times New Roman"/>
                <w:sz w:val="24"/>
                <w:szCs w:val="24"/>
              </w:rPr>
            </w:pPr>
            <w:r w:rsidRPr="00680C45">
              <w:rPr>
                <w:rFonts w:ascii="Times New Roman" w:hAnsi="Times New Roman" w:cs="Times New Roman"/>
                <w:sz w:val="24"/>
                <w:szCs w:val="24"/>
              </w:rPr>
              <w:t>Availability of repair information with a reasonable and proportionate fee for professional repairers</w:t>
            </w:r>
          </w:p>
        </w:tc>
        <w:tc>
          <w:tcPr>
            <w:tcW w:w="840" w:type="dxa"/>
          </w:tcPr>
          <w:p w14:paraId="5CAF8B51" w14:textId="0D1B59B2" w:rsidR="00680C45" w:rsidRPr="00680C45" w:rsidRDefault="00680C45" w:rsidP="009D32DC">
            <w:pPr>
              <w:jc w:val="center"/>
              <w:rPr>
                <w:rFonts w:ascii="Times New Roman" w:hAnsi="Times New Roman" w:cs="Times New Roman"/>
                <w:sz w:val="24"/>
                <w:szCs w:val="24"/>
              </w:rPr>
            </w:pPr>
            <w:r w:rsidRPr="00680C45">
              <w:rPr>
                <w:rFonts w:ascii="Times New Roman" w:hAnsi="Times New Roman" w:cs="Times New Roman"/>
                <w:sz w:val="24"/>
                <w:szCs w:val="24"/>
              </w:rPr>
              <w:t>5</w:t>
            </w:r>
          </w:p>
        </w:tc>
      </w:tr>
    </w:tbl>
    <w:p w14:paraId="68E5F82B" w14:textId="693B2CE1" w:rsidR="00680C45" w:rsidRPr="00680C45" w:rsidRDefault="00680C45" w:rsidP="00680C45">
      <w:pPr>
        <w:jc w:val="center"/>
      </w:pPr>
      <w:r>
        <w:rPr>
          <w:rFonts w:ascii="Times New Roman" w:hAnsi="Times New Roman" w:cs="Times New Roman"/>
          <w:i/>
          <w:sz w:val="20"/>
          <w:szCs w:val="20"/>
        </w:rPr>
        <w:t>Table 6</w:t>
      </w:r>
      <w:r w:rsidRPr="001A3E84">
        <w:rPr>
          <w:rFonts w:ascii="Times New Roman" w:hAnsi="Times New Roman" w:cs="Times New Roman"/>
          <w:i/>
          <w:sz w:val="20"/>
          <w:szCs w:val="20"/>
        </w:rPr>
        <w:t xml:space="preserve">. </w:t>
      </w:r>
      <w:r>
        <w:rPr>
          <w:rFonts w:ascii="Times New Roman" w:hAnsi="Times New Roman" w:cs="Times New Roman"/>
          <w:i/>
          <w:sz w:val="20"/>
          <w:szCs w:val="20"/>
        </w:rPr>
        <w:t>Repair information score</w:t>
      </w:r>
    </w:p>
    <w:p w14:paraId="1612A7AD" w14:textId="5AAD76A7" w:rsidR="00CF2A91" w:rsidRDefault="001D27A8" w:rsidP="001D27A8">
      <w:pPr>
        <w:pStyle w:val="Heading3"/>
      </w:pPr>
      <w:r>
        <w:t>Detachability of the side panels score</w:t>
      </w:r>
    </w:p>
    <w:p w14:paraId="5DE03007" w14:textId="213891A5" w:rsidR="001D27A8" w:rsidRPr="001D27A8" w:rsidRDefault="00680C45" w:rsidP="00CD1E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w:t>
      </w:r>
      <w:r w:rsidR="001D27A8" w:rsidRPr="001D27A8">
        <w:rPr>
          <w:rFonts w:ascii="Times New Roman" w:eastAsia="Times New Roman" w:hAnsi="Times New Roman" w:cs="Times New Roman"/>
          <w:sz w:val="24"/>
          <w:szCs w:val="24"/>
        </w:rPr>
        <w:t xml:space="preserve">etachability of the side panels </w:t>
      </w:r>
      <w:r>
        <w:rPr>
          <w:rFonts w:ascii="Times New Roman" w:eastAsia="Times New Roman" w:hAnsi="Times New Roman" w:cs="Times New Roman"/>
          <w:sz w:val="24"/>
          <w:szCs w:val="24"/>
        </w:rPr>
        <w:t xml:space="preserve">score </w:t>
      </w:r>
      <w:r w:rsidR="001D27A8" w:rsidRPr="001D27A8">
        <w:rPr>
          <w:rFonts w:ascii="Times New Roman" w:eastAsia="Times New Roman" w:hAnsi="Times New Roman" w:cs="Times New Roman"/>
          <w:sz w:val="24"/>
          <w:szCs w:val="24"/>
        </w:rPr>
        <w:t>(</w:t>
      </w:r>
      <w:r w:rsidR="001D27A8" w:rsidRPr="00CD1EFB">
        <w:rPr>
          <w:rFonts w:ascii="Times New Roman" w:eastAsia="Times New Roman" w:hAnsi="Times New Roman" w:cs="Times New Roman"/>
          <w:i/>
          <w:iCs/>
          <w:sz w:val="24"/>
          <w:szCs w:val="24"/>
        </w:rPr>
        <w:t>S</w:t>
      </w:r>
      <w:r w:rsidR="001D27A8" w:rsidRPr="00CD1EFB">
        <w:rPr>
          <w:rFonts w:ascii="Times New Roman" w:eastAsia="Times New Roman" w:hAnsi="Times New Roman" w:cs="Times New Roman"/>
          <w:i/>
          <w:iCs/>
          <w:sz w:val="24"/>
          <w:szCs w:val="24"/>
          <w:vertAlign w:val="subscript"/>
        </w:rPr>
        <w:t>DS</w:t>
      </w:r>
      <w:r w:rsidR="001D27A8" w:rsidRPr="001D27A8">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also </w:t>
      </w:r>
      <w:r w:rsidR="001D27A8" w:rsidRPr="001D27A8">
        <w:rPr>
          <w:rFonts w:ascii="Times New Roman" w:eastAsia="Times New Roman" w:hAnsi="Times New Roman" w:cs="Times New Roman"/>
          <w:sz w:val="24"/>
          <w:szCs w:val="24"/>
        </w:rPr>
        <w:t xml:space="preserve">calculated at product level in accordance with Table </w:t>
      </w:r>
      <w:r>
        <w:rPr>
          <w:rFonts w:ascii="Times New Roman" w:eastAsia="Times New Roman" w:hAnsi="Times New Roman" w:cs="Times New Roman"/>
          <w:sz w:val="24"/>
          <w:szCs w:val="24"/>
        </w:rPr>
        <w:t>7</w:t>
      </w:r>
      <w:r w:rsidR="001D27A8" w:rsidRPr="001D27A8">
        <w:rPr>
          <w:rFonts w:ascii="Times New Roman" w:eastAsia="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7560"/>
        <w:gridCol w:w="840"/>
      </w:tblGrid>
      <w:tr w:rsidR="001D27A8" w:rsidRPr="001D27A8" w14:paraId="4DF0CF6D" w14:textId="77777777" w:rsidTr="009D32DC">
        <w:trPr>
          <w:jc w:val="center"/>
        </w:trPr>
        <w:tc>
          <w:tcPr>
            <w:tcW w:w="7560" w:type="dxa"/>
          </w:tcPr>
          <w:p w14:paraId="6E6BB58E" w14:textId="77777777" w:rsidR="001D27A8" w:rsidRPr="001D27A8" w:rsidRDefault="001D27A8" w:rsidP="009D32DC">
            <w:pPr>
              <w:rPr>
                <w:rFonts w:ascii="Times New Roman" w:hAnsi="Times New Roman" w:cs="Times New Roman"/>
                <w:b/>
                <w:bCs/>
                <w:sz w:val="24"/>
                <w:szCs w:val="24"/>
              </w:rPr>
            </w:pPr>
            <w:r w:rsidRPr="001D27A8">
              <w:rPr>
                <w:rFonts w:ascii="Times New Roman" w:hAnsi="Times New Roman" w:cs="Times New Roman"/>
                <w:b/>
                <w:bCs/>
                <w:sz w:val="24"/>
                <w:szCs w:val="24"/>
              </w:rPr>
              <w:lastRenderedPageBreak/>
              <w:t>Number of sides which panels can be removed independently of all other side panels</w:t>
            </w:r>
          </w:p>
        </w:tc>
        <w:tc>
          <w:tcPr>
            <w:tcW w:w="840" w:type="dxa"/>
          </w:tcPr>
          <w:p w14:paraId="3520FF59" w14:textId="2EFDC356" w:rsidR="001D27A8" w:rsidRPr="001D27A8" w:rsidRDefault="001D27A8" w:rsidP="009D32DC">
            <w:pPr>
              <w:jc w:val="center"/>
              <w:rPr>
                <w:rFonts w:ascii="Times New Roman" w:hAnsi="Times New Roman" w:cs="Times New Roman"/>
                <w:b/>
                <w:bCs/>
                <w:sz w:val="24"/>
                <w:szCs w:val="24"/>
              </w:rPr>
            </w:pPr>
            <w:r w:rsidRPr="001D27A8">
              <w:rPr>
                <w:rFonts w:ascii="Times New Roman" w:hAnsi="Times New Roman" w:cs="Times New Roman"/>
                <w:b/>
                <w:bCs/>
                <w:sz w:val="24"/>
                <w:szCs w:val="24"/>
              </w:rPr>
              <w:t>Score</w:t>
            </w:r>
            <w:r>
              <w:rPr>
                <w:rFonts w:ascii="Times New Roman" w:hAnsi="Times New Roman" w:cs="Times New Roman"/>
                <w:b/>
                <w:bCs/>
                <w:sz w:val="24"/>
                <w:szCs w:val="24"/>
              </w:rPr>
              <w:t xml:space="preserve"> (S</w:t>
            </w:r>
            <w:r w:rsidRPr="001D27A8">
              <w:rPr>
                <w:rFonts w:ascii="Times New Roman" w:hAnsi="Times New Roman" w:cs="Times New Roman"/>
                <w:b/>
                <w:bCs/>
                <w:sz w:val="24"/>
                <w:szCs w:val="24"/>
                <w:vertAlign w:val="subscript"/>
              </w:rPr>
              <w:t>DS</w:t>
            </w:r>
            <w:r>
              <w:rPr>
                <w:rFonts w:ascii="Times New Roman" w:hAnsi="Times New Roman" w:cs="Times New Roman"/>
                <w:b/>
                <w:bCs/>
                <w:sz w:val="24"/>
                <w:szCs w:val="24"/>
              </w:rPr>
              <w:t>)</w:t>
            </w:r>
          </w:p>
        </w:tc>
      </w:tr>
      <w:tr w:rsidR="001D27A8" w:rsidRPr="001D27A8" w14:paraId="714132D9" w14:textId="77777777" w:rsidTr="009D32DC">
        <w:trPr>
          <w:jc w:val="center"/>
        </w:trPr>
        <w:tc>
          <w:tcPr>
            <w:tcW w:w="7560" w:type="dxa"/>
          </w:tcPr>
          <w:p w14:paraId="76FD592B" w14:textId="6E170BE6" w:rsidR="001D27A8" w:rsidRPr="001D27A8" w:rsidRDefault="001D27A8" w:rsidP="001D27A8">
            <w:pPr>
              <w:rPr>
                <w:rFonts w:ascii="Times New Roman" w:hAnsi="Times New Roman" w:cs="Times New Roman"/>
                <w:sz w:val="24"/>
                <w:szCs w:val="24"/>
              </w:rPr>
            </w:pPr>
            <w:r w:rsidRPr="001D27A8">
              <w:rPr>
                <w:rFonts w:ascii="Times New Roman" w:hAnsi="Times New Roman" w:cs="Times New Roman"/>
                <w:sz w:val="24"/>
                <w:szCs w:val="24"/>
              </w:rPr>
              <w:t>Side panels of all four sides can be removed independently of all other sides</w:t>
            </w:r>
          </w:p>
        </w:tc>
        <w:tc>
          <w:tcPr>
            <w:tcW w:w="840" w:type="dxa"/>
          </w:tcPr>
          <w:p w14:paraId="12696B2C" w14:textId="54983431" w:rsidR="001D27A8" w:rsidRPr="001D27A8" w:rsidRDefault="001D27A8" w:rsidP="001D27A8">
            <w:pPr>
              <w:jc w:val="center"/>
              <w:rPr>
                <w:rFonts w:ascii="Times New Roman" w:hAnsi="Times New Roman" w:cs="Times New Roman"/>
                <w:sz w:val="24"/>
                <w:szCs w:val="24"/>
                <w:lang w:val="nl-NL"/>
              </w:rPr>
            </w:pPr>
            <w:r w:rsidRPr="001D27A8">
              <w:rPr>
                <w:rFonts w:ascii="Times New Roman" w:hAnsi="Times New Roman" w:cs="Times New Roman"/>
                <w:sz w:val="24"/>
                <w:szCs w:val="24"/>
                <w:lang w:val="nl-NL"/>
              </w:rPr>
              <w:t>10</w:t>
            </w:r>
          </w:p>
        </w:tc>
      </w:tr>
      <w:tr w:rsidR="001D27A8" w:rsidRPr="001D27A8" w14:paraId="0646031B" w14:textId="77777777" w:rsidTr="009D32DC">
        <w:trPr>
          <w:jc w:val="center"/>
        </w:trPr>
        <w:tc>
          <w:tcPr>
            <w:tcW w:w="7560" w:type="dxa"/>
          </w:tcPr>
          <w:p w14:paraId="61D6DCE3" w14:textId="05305711" w:rsidR="001D27A8" w:rsidRPr="001D27A8" w:rsidRDefault="001D27A8" w:rsidP="001D27A8">
            <w:pPr>
              <w:rPr>
                <w:rFonts w:ascii="Times New Roman" w:hAnsi="Times New Roman" w:cs="Times New Roman"/>
                <w:sz w:val="24"/>
                <w:szCs w:val="24"/>
              </w:rPr>
            </w:pPr>
            <w:r w:rsidRPr="001D27A8">
              <w:rPr>
                <w:rFonts w:ascii="Times New Roman" w:hAnsi="Times New Roman" w:cs="Times New Roman"/>
                <w:sz w:val="24"/>
                <w:szCs w:val="24"/>
              </w:rPr>
              <w:t>Side panels of three sides can be removed independently of all other sides</w:t>
            </w:r>
          </w:p>
        </w:tc>
        <w:tc>
          <w:tcPr>
            <w:tcW w:w="840" w:type="dxa"/>
          </w:tcPr>
          <w:p w14:paraId="0AE4CAD5" w14:textId="00055EE4" w:rsidR="001D27A8" w:rsidRPr="001D27A8" w:rsidRDefault="001D27A8" w:rsidP="009D32DC">
            <w:pPr>
              <w:jc w:val="center"/>
              <w:rPr>
                <w:rFonts w:ascii="Times New Roman" w:hAnsi="Times New Roman" w:cs="Times New Roman"/>
                <w:sz w:val="24"/>
                <w:szCs w:val="24"/>
              </w:rPr>
            </w:pPr>
            <w:r>
              <w:rPr>
                <w:rFonts w:ascii="Times New Roman" w:hAnsi="Times New Roman" w:cs="Times New Roman"/>
                <w:sz w:val="24"/>
                <w:szCs w:val="24"/>
              </w:rPr>
              <w:t>7</w:t>
            </w:r>
          </w:p>
        </w:tc>
      </w:tr>
      <w:tr w:rsidR="001D27A8" w:rsidRPr="001D27A8" w14:paraId="523E17E9" w14:textId="77777777" w:rsidTr="009D32DC">
        <w:trPr>
          <w:jc w:val="center"/>
        </w:trPr>
        <w:tc>
          <w:tcPr>
            <w:tcW w:w="7560" w:type="dxa"/>
          </w:tcPr>
          <w:p w14:paraId="5106FB83" w14:textId="2A88D8DB" w:rsidR="001D27A8" w:rsidRPr="001D27A8" w:rsidRDefault="001D27A8" w:rsidP="001D27A8">
            <w:pPr>
              <w:rPr>
                <w:rFonts w:ascii="Times New Roman" w:hAnsi="Times New Roman" w:cs="Times New Roman"/>
                <w:sz w:val="24"/>
                <w:szCs w:val="24"/>
              </w:rPr>
            </w:pPr>
            <w:r w:rsidRPr="001D27A8">
              <w:rPr>
                <w:rFonts w:ascii="Times New Roman" w:hAnsi="Times New Roman" w:cs="Times New Roman"/>
                <w:sz w:val="24"/>
                <w:szCs w:val="24"/>
              </w:rPr>
              <w:t>Side panels of two sides can be removed independently of all other sides</w:t>
            </w:r>
          </w:p>
        </w:tc>
        <w:tc>
          <w:tcPr>
            <w:tcW w:w="840" w:type="dxa"/>
          </w:tcPr>
          <w:p w14:paraId="13EBA5A3" w14:textId="69160E58" w:rsidR="001D27A8" w:rsidRPr="001D27A8" w:rsidRDefault="001D27A8" w:rsidP="009D32DC">
            <w:pPr>
              <w:jc w:val="center"/>
              <w:rPr>
                <w:rFonts w:ascii="Times New Roman" w:hAnsi="Times New Roman" w:cs="Times New Roman"/>
                <w:sz w:val="24"/>
                <w:szCs w:val="24"/>
              </w:rPr>
            </w:pPr>
            <w:r>
              <w:rPr>
                <w:rFonts w:ascii="Times New Roman" w:hAnsi="Times New Roman" w:cs="Times New Roman"/>
                <w:sz w:val="24"/>
                <w:szCs w:val="24"/>
              </w:rPr>
              <w:t>4</w:t>
            </w:r>
          </w:p>
        </w:tc>
      </w:tr>
      <w:tr w:rsidR="001D27A8" w:rsidRPr="001D27A8" w14:paraId="5E18C36F" w14:textId="77777777" w:rsidTr="009D32DC">
        <w:trPr>
          <w:jc w:val="center"/>
        </w:trPr>
        <w:tc>
          <w:tcPr>
            <w:tcW w:w="7560" w:type="dxa"/>
          </w:tcPr>
          <w:p w14:paraId="32556932" w14:textId="610E6353" w:rsidR="001D27A8" w:rsidRPr="001D27A8" w:rsidRDefault="001D27A8" w:rsidP="009D32DC">
            <w:pPr>
              <w:rPr>
                <w:rFonts w:ascii="Times New Roman" w:hAnsi="Times New Roman" w:cs="Times New Roman"/>
                <w:sz w:val="24"/>
                <w:szCs w:val="24"/>
              </w:rPr>
            </w:pPr>
            <w:r w:rsidRPr="001D27A8">
              <w:rPr>
                <w:rFonts w:ascii="Times New Roman" w:hAnsi="Times New Roman" w:cs="Times New Roman"/>
                <w:sz w:val="24"/>
                <w:szCs w:val="24"/>
              </w:rPr>
              <w:t>Side panel of one side can be removed independently of all other sides</w:t>
            </w:r>
          </w:p>
        </w:tc>
        <w:tc>
          <w:tcPr>
            <w:tcW w:w="840" w:type="dxa"/>
          </w:tcPr>
          <w:p w14:paraId="11B16913" w14:textId="0E3124AF" w:rsidR="001D27A8" w:rsidRPr="001D27A8" w:rsidRDefault="001D27A8" w:rsidP="009D32DC">
            <w:pPr>
              <w:jc w:val="center"/>
              <w:rPr>
                <w:rFonts w:ascii="Times New Roman" w:hAnsi="Times New Roman" w:cs="Times New Roman"/>
                <w:sz w:val="24"/>
                <w:szCs w:val="24"/>
              </w:rPr>
            </w:pPr>
            <w:r>
              <w:rPr>
                <w:rFonts w:ascii="Times New Roman" w:hAnsi="Times New Roman" w:cs="Times New Roman"/>
                <w:sz w:val="24"/>
                <w:szCs w:val="24"/>
              </w:rPr>
              <w:t>1</w:t>
            </w:r>
          </w:p>
        </w:tc>
      </w:tr>
    </w:tbl>
    <w:p w14:paraId="2AB2CB0C" w14:textId="3E83501A" w:rsidR="001D27A8" w:rsidRDefault="001D27A8" w:rsidP="001D27A8">
      <w:pPr>
        <w:jc w:val="center"/>
        <w:rPr>
          <w:rFonts w:ascii="Times New Roman" w:hAnsi="Times New Roman" w:cs="Times New Roman"/>
          <w:sz w:val="24"/>
          <w:szCs w:val="24"/>
        </w:rPr>
      </w:pPr>
      <w:r>
        <w:rPr>
          <w:rFonts w:ascii="Times New Roman" w:hAnsi="Times New Roman" w:cs="Times New Roman"/>
          <w:i/>
          <w:sz w:val="20"/>
          <w:szCs w:val="20"/>
        </w:rPr>
        <w:t xml:space="preserve">Table </w:t>
      </w:r>
      <w:r w:rsidR="00680C45">
        <w:rPr>
          <w:rFonts w:ascii="Times New Roman" w:hAnsi="Times New Roman" w:cs="Times New Roman"/>
          <w:i/>
          <w:sz w:val="20"/>
          <w:szCs w:val="20"/>
        </w:rPr>
        <w:t>7</w:t>
      </w:r>
      <w:r w:rsidRPr="001A3E84">
        <w:rPr>
          <w:rFonts w:ascii="Times New Roman" w:hAnsi="Times New Roman" w:cs="Times New Roman"/>
          <w:i/>
          <w:sz w:val="20"/>
          <w:szCs w:val="20"/>
        </w:rPr>
        <w:t xml:space="preserve">. </w:t>
      </w:r>
      <w:r>
        <w:rPr>
          <w:rFonts w:ascii="Times New Roman" w:hAnsi="Times New Roman" w:cs="Times New Roman"/>
          <w:i/>
          <w:sz w:val="20"/>
          <w:szCs w:val="20"/>
        </w:rPr>
        <w:t>Detachability of the side panels score</w:t>
      </w:r>
    </w:p>
    <w:p w14:paraId="10D17AAD" w14:textId="19DB5EB6" w:rsidR="00A86B38" w:rsidRDefault="00573DE4" w:rsidP="00671375">
      <w:pPr>
        <w:pStyle w:val="Heading1"/>
      </w:pPr>
      <w:r>
        <w:t>Expected</w:t>
      </w:r>
      <w:r w:rsidR="006A1162">
        <w:t xml:space="preserve"> impacts of a repairability score</w:t>
      </w:r>
    </w:p>
    <w:p w14:paraId="47B80E77" w14:textId="2706E591" w:rsidR="00573DE4" w:rsidRDefault="00573DE4" w:rsidP="006858E5">
      <w:pPr>
        <w:pStyle w:val="Heading2"/>
      </w:pPr>
      <w:r>
        <w:t>Introduction</w:t>
      </w:r>
    </w:p>
    <w:p w14:paraId="4EA1A49F" w14:textId="4C6C2F54" w:rsidR="00573DE4" w:rsidRPr="00573DE4" w:rsidRDefault="00573DE4" w:rsidP="006858E5">
      <w:pPr>
        <w:jc w:val="both"/>
      </w:pPr>
      <w:r>
        <w:rPr>
          <w:rFonts w:ascii="Times New Roman" w:hAnsi="Times New Roman" w:cs="Times New Roman"/>
          <w:sz w:val="24"/>
          <w:szCs w:val="24"/>
        </w:rPr>
        <w:t>The addition of a repairability score to the new energy label does not in itself warrant a fully-fledged impact assessment given the nature of such a limited modification to the label and the broad agr</w:t>
      </w:r>
      <w:r w:rsidR="006912D1">
        <w:rPr>
          <w:rFonts w:ascii="Times New Roman" w:hAnsi="Times New Roman" w:cs="Times New Roman"/>
          <w:sz w:val="24"/>
          <w:szCs w:val="24"/>
        </w:rPr>
        <w:t>e</w:t>
      </w:r>
      <w:r>
        <w:rPr>
          <w:rFonts w:ascii="Times New Roman" w:hAnsi="Times New Roman" w:cs="Times New Roman"/>
          <w:sz w:val="24"/>
          <w:szCs w:val="24"/>
        </w:rPr>
        <w:t>ement among Member States, industry and stakeholders on the merits</w:t>
      </w:r>
      <w:r w:rsidR="006912D1">
        <w:rPr>
          <w:rFonts w:ascii="Times New Roman" w:hAnsi="Times New Roman" w:cs="Times New Roman"/>
          <w:sz w:val="24"/>
          <w:szCs w:val="24"/>
        </w:rPr>
        <w:t>, urgency</w:t>
      </w:r>
      <w:r>
        <w:rPr>
          <w:rFonts w:ascii="Times New Roman" w:hAnsi="Times New Roman" w:cs="Times New Roman"/>
          <w:sz w:val="24"/>
          <w:szCs w:val="24"/>
        </w:rPr>
        <w:t xml:space="preserve"> and modalities </w:t>
      </w:r>
      <w:r w:rsidR="006912D1">
        <w:rPr>
          <w:rFonts w:ascii="Times New Roman" w:hAnsi="Times New Roman" w:cs="Times New Roman"/>
          <w:sz w:val="24"/>
          <w:szCs w:val="24"/>
        </w:rPr>
        <w:t>of</w:t>
      </w:r>
      <w:r>
        <w:rPr>
          <w:rFonts w:ascii="Times New Roman" w:hAnsi="Times New Roman" w:cs="Times New Roman"/>
          <w:sz w:val="24"/>
          <w:szCs w:val="24"/>
        </w:rPr>
        <w:t xml:space="preserve"> </w:t>
      </w:r>
      <w:r w:rsidR="006912D1">
        <w:rPr>
          <w:rFonts w:ascii="Times New Roman" w:hAnsi="Times New Roman" w:cs="Times New Roman"/>
          <w:sz w:val="24"/>
          <w:szCs w:val="24"/>
        </w:rPr>
        <w:t>such an addition</w:t>
      </w:r>
      <w:r>
        <w:rPr>
          <w:rFonts w:ascii="Times New Roman" w:hAnsi="Times New Roman" w:cs="Times New Roman"/>
          <w:sz w:val="24"/>
          <w:szCs w:val="24"/>
        </w:rPr>
        <w:t xml:space="preserve">. </w:t>
      </w:r>
      <w:r w:rsidR="006912D1">
        <w:rPr>
          <w:rFonts w:ascii="Times New Roman" w:hAnsi="Times New Roman" w:cs="Times New Roman"/>
          <w:sz w:val="24"/>
          <w:szCs w:val="24"/>
        </w:rPr>
        <w:t>Nevertheless</w:t>
      </w:r>
      <w:r>
        <w:rPr>
          <w:rFonts w:ascii="Times New Roman" w:hAnsi="Times New Roman" w:cs="Times New Roman"/>
          <w:sz w:val="24"/>
          <w:szCs w:val="24"/>
        </w:rPr>
        <w:t xml:space="preserve">, the Commission services have </w:t>
      </w:r>
      <w:r w:rsidR="006912D1">
        <w:rPr>
          <w:rFonts w:ascii="Times New Roman" w:hAnsi="Times New Roman" w:cs="Times New Roman"/>
          <w:sz w:val="24"/>
          <w:szCs w:val="24"/>
        </w:rPr>
        <w:t>updated the analysis of the 2022 Impact Assessment to provide a broad estimate/idea of the additional impacts.</w:t>
      </w:r>
      <w:r>
        <w:rPr>
          <w:rFonts w:ascii="Times New Roman" w:hAnsi="Times New Roman" w:cs="Times New Roman"/>
          <w:sz w:val="24"/>
          <w:szCs w:val="24"/>
        </w:rPr>
        <w:t xml:space="preserve"> </w:t>
      </w:r>
    </w:p>
    <w:p w14:paraId="1EBDB505" w14:textId="6DC3CAC1" w:rsidR="00A6706A" w:rsidRDefault="00A6706A" w:rsidP="006A1162">
      <w:pPr>
        <w:pStyle w:val="Heading2"/>
      </w:pPr>
      <w:r>
        <w:t>Policy options</w:t>
      </w:r>
      <w:r w:rsidR="00573DE4">
        <w:t xml:space="preserve"> analysed</w:t>
      </w:r>
      <w:r>
        <w:t xml:space="preserve"> in the 2022 IA</w:t>
      </w:r>
    </w:p>
    <w:p w14:paraId="2CA70D56" w14:textId="0BEEC9C8" w:rsidR="00A6706A" w:rsidRDefault="004E645A" w:rsidP="001A3E84">
      <w:pPr>
        <w:jc w:val="both"/>
        <w:rPr>
          <w:rFonts w:ascii="Times New Roman" w:hAnsi="Times New Roman" w:cs="Times New Roman"/>
          <w:sz w:val="24"/>
          <w:szCs w:val="24"/>
        </w:rPr>
      </w:pPr>
      <w:r>
        <w:rPr>
          <w:rFonts w:ascii="Times New Roman" w:hAnsi="Times New Roman" w:cs="Times New Roman"/>
          <w:sz w:val="24"/>
          <w:szCs w:val="24"/>
        </w:rPr>
        <w:t>The 2022 IA is the starting point f</w:t>
      </w:r>
      <w:r w:rsidR="00A6706A">
        <w:rPr>
          <w:rFonts w:ascii="Times New Roman" w:hAnsi="Times New Roman" w:cs="Times New Roman"/>
          <w:sz w:val="24"/>
          <w:szCs w:val="24"/>
        </w:rPr>
        <w:t xml:space="preserve">or </w:t>
      </w:r>
      <w:r w:rsidR="006912D1">
        <w:rPr>
          <w:rFonts w:ascii="Times New Roman" w:hAnsi="Times New Roman" w:cs="Times New Roman"/>
          <w:sz w:val="24"/>
          <w:szCs w:val="24"/>
        </w:rPr>
        <w:t xml:space="preserve">an update of </w:t>
      </w:r>
      <w:r w:rsidR="00A6706A">
        <w:rPr>
          <w:rFonts w:ascii="Times New Roman" w:hAnsi="Times New Roman" w:cs="Times New Roman"/>
          <w:sz w:val="24"/>
          <w:szCs w:val="24"/>
        </w:rPr>
        <w:t xml:space="preserve">the assessment of the impacts </w:t>
      </w:r>
      <w:r w:rsidR="006912D1">
        <w:rPr>
          <w:rFonts w:ascii="Times New Roman" w:hAnsi="Times New Roman" w:cs="Times New Roman"/>
          <w:sz w:val="24"/>
          <w:szCs w:val="24"/>
        </w:rPr>
        <w:t xml:space="preserve">of the policy </w:t>
      </w:r>
      <w:r w:rsidR="00CD2FD6">
        <w:rPr>
          <w:rFonts w:ascii="Times New Roman" w:hAnsi="Times New Roman" w:cs="Times New Roman"/>
          <w:sz w:val="24"/>
          <w:szCs w:val="24"/>
        </w:rPr>
        <w:t>including</w:t>
      </w:r>
      <w:r w:rsidR="00A6706A">
        <w:rPr>
          <w:rFonts w:ascii="Times New Roman" w:hAnsi="Times New Roman" w:cs="Times New Roman"/>
          <w:sz w:val="24"/>
          <w:szCs w:val="24"/>
        </w:rPr>
        <w:t xml:space="preserve"> the repairability score</w:t>
      </w:r>
      <w:r w:rsidR="00A35C2A">
        <w:rPr>
          <w:rFonts w:ascii="Times New Roman" w:hAnsi="Times New Roman" w:cs="Times New Roman"/>
          <w:sz w:val="24"/>
          <w:szCs w:val="24"/>
        </w:rPr>
        <w:t>.</w:t>
      </w:r>
      <w:r w:rsidR="00A6706A">
        <w:rPr>
          <w:rFonts w:ascii="Times New Roman" w:hAnsi="Times New Roman" w:cs="Times New Roman"/>
          <w:sz w:val="24"/>
          <w:szCs w:val="24"/>
        </w:rPr>
        <w:t xml:space="preserve"> </w:t>
      </w:r>
      <w:r w:rsidR="00362B0A">
        <w:rPr>
          <w:rFonts w:ascii="Times New Roman" w:hAnsi="Times New Roman" w:cs="Times New Roman"/>
          <w:sz w:val="24"/>
          <w:szCs w:val="24"/>
        </w:rPr>
        <w:t xml:space="preserve">The </w:t>
      </w:r>
      <w:r w:rsidR="001A3E84">
        <w:rPr>
          <w:rFonts w:ascii="Times New Roman" w:hAnsi="Times New Roman" w:cs="Times New Roman"/>
          <w:sz w:val="24"/>
          <w:szCs w:val="24"/>
        </w:rPr>
        <w:t xml:space="preserve">following table displays the correspondence between problems, measures and policy options as </w:t>
      </w:r>
      <w:r w:rsidR="00D429E4">
        <w:rPr>
          <w:rFonts w:ascii="Times New Roman" w:hAnsi="Times New Roman" w:cs="Times New Roman"/>
          <w:sz w:val="24"/>
          <w:szCs w:val="24"/>
        </w:rPr>
        <w:t>presented</w:t>
      </w:r>
      <w:r w:rsidR="001A3E84">
        <w:rPr>
          <w:rFonts w:ascii="Times New Roman" w:hAnsi="Times New Roman" w:cs="Times New Roman"/>
          <w:sz w:val="24"/>
          <w:szCs w:val="24"/>
        </w:rPr>
        <w:t xml:space="preserve"> in the </w:t>
      </w:r>
      <w:r w:rsidR="00362B0A">
        <w:rPr>
          <w:rFonts w:ascii="Times New Roman" w:hAnsi="Times New Roman" w:cs="Times New Roman"/>
          <w:sz w:val="24"/>
          <w:szCs w:val="24"/>
        </w:rPr>
        <w:t xml:space="preserve">2022 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3994"/>
        <w:gridCol w:w="2868"/>
      </w:tblGrid>
      <w:tr w:rsidR="001A3E84" w:rsidRPr="001A3E84" w14:paraId="6F8EE711" w14:textId="77777777" w:rsidTr="00B758B8">
        <w:trPr>
          <w:tblHeader/>
          <w:jc w:val="center"/>
        </w:trPr>
        <w:tc>
          <w:tcPr>
            <w:tcW w:w="2154" w:type="dxa"/>
            <w:vAlign w:val="center"/>
          </w:tcPr>
          <w:p w14:paraId="2399F7B0" w14:textId="77777777" w:rsidR="001A3E84" w:rsidRPr="001A3E84" w:rsidRDefault="001A3E84" w:rsidP="00B758B8">
            <w:pPr>
              <w:spacing w:after="0"/>
              <w:jc w:val="center"/>
              <w:rPr>
                <w:rFonts w:ascii="Times New Roman" w:hAnsi="Times New Roman" w:cs="Times New Roman"/>
                <w:b/>
                <w:sz w:val="20"/>
                <w:szCs w:val="20"/>
              </w:rPr>
            </w:pPr>
            <w:r w:rsidRPr="001A3E84">
              <w:rPr>
                <w:rFonts w:ascii="Times New Roman" w:hAnsi="Times New Roman" w:cs="Times New Roman"/>
                <w:b/>
                <w:sz w:val="20"/>
                <w:szCs w:val="20"/>
              </w:rPr>
              <w:t>Problems</w:t>
            </w:r>
          </w:p>
        </w:tc>
        <w:tc>
          <w:tcPr>
            <w:tcW w:w="3994" w:type="dxa"/>
            <w:vAlign w:val="center"/>
          </w:tcPr>
          <w:p w14:paraId="64BFD1DC" w14:textId="77777777" w:rsidR="001A3E84" w:rsidRPr="001A3E84" w:rsidRDefault="001A3E84" w:rsidP="00B758B8">
            <w:pPr>
              <w:spacing w:after="0"/>
              <w:jc w:val="center"/>
              <w:rPr>
                <w:rFonts w:ascii="Times New Roman" w:hAnsi="Times New Roman" w:cs="Times New Roman"/>
                <w:b/>
                <w:sz w:val="20"/>
                <w:szCs w:val="20"/>
              </w:rPr>
            </w:pPr>
            <w:r w:rsidRPr="001A3E84">
              <w:rPr>
                <w:rFonts w:ascii="Times New Roman" w:hAnsi="Times New Roman" w:cs="Times New Roman"/>
                <w:b/>
                <w:sz w:val="20"/>
                <w:szCs w:val="20"/>
              </w:rPr>
              <w:t>Measures</w:t>
            </w:r>
          </w:p>
        </w:tc>
        <w:tc>
          <w:tcPr>
            <w:tcW w:w="0" w:type="auto"/>
          </w:tcPr>
          <w:p w14:paraId="2DE2C43B" w14:textId="77777777" w:rsidR="001A3E84" w:rsidRPr="001A3E84" w:rsidRDefault="001A3E84" w:rsidP="00B758B8">
            <w:pPr>
              <w:spacing w:after="0"/>
              <w:jc w:val="center"/>
              <w:rPr>
                <w:rFonts w:ascii="Times New Roman" w:hAnsi="Times New Roman" w:cs="Times New Roman"/>
                <w:b/>
                <w:sz w:val="20"/>
                <w:szCs w:val="20"/>
              </w:rPr>
            </w:pPr>
            <w:r w:rsidRPr="001A3E84">
              <w:rPr>
                <w:rFonts w:ascii="Times New Roman" w:hAnsi="Times New Roman" w:cs="Times New Roman"/>
                <w:b/>
                <w:sz w:val="20"/>
                <w:szCs w:val="20"/>
              </w:rPr>
              <w:t>Policy options</w:t>
            </w:r>
          </w:p>
        </w:tc>
      </w:tr>
      <w:tr w:rsidR="001A3E84" w:rsidRPr="001A3E84" w14:paraId="00C884F9" w14:textId="77777777" w:rsidTr="00B758B8">
        <w:trPr>
          <w:jc w:val="center"/>
        </w:trPr>
        <w:tc>
          <w:tcPr>
            <w:tcW w:w="2154" w:type="dxa"/>
            <w:vMerge w:val="restart"/>
          </w:tcPr>
          <w:p w14:paraId="58437CFF"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xml:space="preserve">First key problem: missed in-use energy savings due to the lack of adaptation of the legislation to technical progress </w:t>
            </w:r>
          </w:p>
        </w:tc>
        <w:tc>
          <w:tcPr>
            <w:tcW w:w="3994" w:type="dxa"/>
          </w:tcPr>
          <w:p w14:paraId="301F2C5D"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Rescaling the energy label</w:t>
            </w:r>
          </w:p>
          <w:p w14:paraId="36F5AA93"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Improving real-life representativeness of the energy efficiency formula</w:t>
            </w:r>
          </w:p>
        </w:tc>
        <w:tc>
          <w:tcPr>
            <w:tcW w:w="0" w:type="auto"/>
          </w:tcPr>
          <w:p w14:paraId="099DAB7D"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PO2: energy labelling measures (lenient option)</w:t>
            </w:r>
          </w:p>
        </w:tc>
      </w:tr>
      <w:tr w:rsidR="001A3E84" w:rsidRPr="001A3E84" w14:paraId="57FB9942" w14:textId="77777777" w:rsidTr="00B758B8">
        <w:trPr>
          <w:jc w:val="center"/>
        </w:trPr>
        <w:tc>
          <w:tcPr>
            <w:tcW w:w="2154" w:type="dxa"/>
            <w:vMerge/>
          </w:tcPr>
          <w:p w14:paraId="27A1FE87" w14:textId="77777777" w:rsidR="001A3E84" w:rsidRPr="001A3E84" w:rsidRDefault="001A3E84" w:rsidP="00B758B8">
            <w:pPr>
              <w:spacing w:after="0"/>
              <w:rPr>
                <w:rFonts w:ascii="Times New Roman" w:hAnsi="Times New Roman" w:cs="Times New Roman"/>
                <w:sz w:val="20"/>
                <w:szCs w:val="20"/>
              </w:rPr>
            </w:pPr>
          </w:p>
        </w:tc>
        <w:tc>
          <w:tcPr>
            <w:tcW w:w="3994" w:type="dxa"/>
          </w:tcPr>
          <w:p w14:paraId="0CAE521F" w14:textId="77777777" w:rsidR="001A3E84" w:rsidRPr="001A3E84" w:rsidRDefault="001A3E84" w:rsidP="00B758B8">
            <w:pPr>
              <w:spacing w:after="0"/>
              <w:rPr>
                <w:rFonts w:ascii="Times New Roman" w:hAnsi="Times New Roman" w:cs="Times New Roman"/>
                <w:sz w:val="20"/>
                <w:szCs w:val="20"/>
                <w:highlight w:val="yellow"/>
              </w:rPr>
            </w:pPr>
            <w:r w:rsidRPr="001A3E84">
              <w:rPr>
                <w:rFonts w:ascii="Times New Roman" w:hAnsi="Times New Roman" w:cs="Times New Roman"/>
                <w:sz w:val="20"/>
                <w:szCs w:val="20"/>
              </w:rPr>
              <w:t>- New energy efficiency limits</w:t>
            </w:r>
          </w:p>
        </w:tc>
        <w:tc>
          <w:tcPr>
            <w:tcW w:w="0" w:type="auto"/>
          </w:tcPr>
          <w:p w14:paraId="16911C69"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PO3: ecodesign measures (ambitious option)</w:t>
            </w:r>
          </w:p>
        </w:tc>
      </w:tr>
      <w:tr w:rsidR="001A3E84" w:rsidRPr="001A3E84" w14:paraId="27F8E4DE" w14:textId="77777777" w:rsidTr="00B758B8">
        <w:trPr>
          <w:jc w:val="center"/>
        </w:trPr>
        <w:tc>
          <w:tcPr>
            <w:tcW w:w="2154" w:type="dxa"/>
          </w:tcPr>
          <w:p w14:paraId="6A336881"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Second key problem: insufficient industry measures on circular economy</w:t>
            </w:r>
          </w:p>
        </w:tc>
        <w:tc>
          <w:tcPr>
            <w:tcW w:w="3994" w:type="dxa"/>
          </w:tcPr>
          <w:p w14:paraId="513D1832"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Mandatory availability of critical spare parts</w:t>
            </w:r>
          </w:p>
          <w:p w14:paraId="2FD60F41"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Accessibility to repair and maintenance information</w:t>
            </w:r>
          </w:p>
          <w:p w14:paraId="42140954"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Availability of documentation for enhanced disassembly/recovery of WEEE-components and refrigerants</w:t>
            </w:r>
          </w:p>
          <w:p w14:paraId="15B6B7C1"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Permanent marking of the refrigerant type</w:t>
            </w:r>
          </w:p>
          <w:p w14:paraId="1DB43198"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 User information on the location of the filters</w:t>
            </w:r>
          </w:p>
        </w:tc>
        <w:tc>
          <w:tcPr>
            <w:tcW w:w="0" w:type="auto"/>
          </w:tcPr>
          <w:p w14:paraId="24DF5CD4" w14:textId="77777777" w:rsidR="001A3E84" w:rsidRPr="001A3E84" w:rsidRDefault="001A3E84" w:rsidP="00B758B8">
            <w:pPr>
              <w:spacing w:after="0"/>
              <w:rPr>
                <w:rFonts w:ascii="Times New Roman" w:hAnsi="Times New Roman" w:cs="Times New Roman"/>
                <w:sz w:val="20"/>
                <w:szCs w:val="20"/>
              </w:rPr>
            </w:pPr>
            <w:r w:rsidRPr="001A3E84">
              <w:rPr>
                <w:rFonts w:ascii="Times New Roman" w:hAnsi="Times New Roman" w:cs="Times New Roman"/>
                <w:sz w:val="20"/>
                <w:szCs w:val="20"/>
              </w:rPr>
              <w:t>PO4: circular economy</w:t>
            </w:r>
          </w:p>
        </w:tc>
      </w:tr>
    </w:tbl>
    <w:p w14:paraId="35CE5CCA" w14:textId="10EC636C" w:rsidR="001A3E84" w:rsidRPr="001A3E84" w:rsidRDefault="009F06CF" w:rsidP="001A3E84">
      <w:pPr>
        <w:rPr>
          <w:rFonts w:ascii="Times New Roman" w:hAnsi="Times New Roman" w:cs="Times New Roman"/>
          <w:i/>
          <w:sz w:val="20"/>
          <w:szCs w:val="20"/>
        </w:rPr>
      </w:pPr>
      <w:r>
        <w:rPr>
          <w:rFonts w:ascii="Times New Roman" w:hAnsi="Times New Roman" w:cs="Times New Roman"/>
          <w:i/>
          <w:sz w:val="20"/>
          <w:szCs w:val="20"/>
        </w:rPr>
        <w:t xml:space="preserve">Table </w:t>
      </w:r>
      <w:r w:rsidR="00680C45">
        <w:rPr>
          <w:rFonts w:ascii="Times New Roman" w:hAnsi="Times New Roman" w:cs="Times New Roman"/>
          <w:i/>
          <w:sz w:val="20"/>
          <w:szCs w:val="20"/>
        </w:rPr>
        <w:t>8</w:t>
      </w:r>
      <w:r w:rsidR="001A3E84" w:rsidRPr="001A3E84">
        <w:rPr>
          <w:rFonts w:ascii="Times New Roman" w:hAnsi="Times New Roman" w:cs="Times New Roman"/>
          <w:i/>
          <w:sz w:val="20"/>
          <w:szCs w:val="20"/>
        </w:rPr>
        <w:t>. Schematic overview of drivers, problems, objectives and measures and their interlinkage</w:t>
      </w:r>
    </w:p>
    <w:p w14:paraId="3C95BCDD" w14:textId="7F907D10" w:rsidR="001A3E84" w:rsidRDefault="001A3E84" w:rsidP="001A3E84">
      <w:pPr>
        <w:jc w:val="both"/>
        <w:rPr>
          <w:rFonts w:ascii="Times New Roman" w:hAnsi="Times New Roman" w:cs="Times New Roman"/>
          <w:sz w:val="24"/>
          <w:szCs w:val="24"/>
        </w:rPr>
      </w:pPr>
      <w:r>
        <w:rPr>
          <w:rFonts w:ascii="Times New Roman" w:hAnsi="Times New Roman" w:cs="Times New Roman"/>
          <w:sz w:val="24"/>
          <w:szCs w:val="24"/>
        </w:rPr>
        <w:t xml:space="preserve">The 2022 IA concluded that the preferred policy option would be a combination of all the above, namely PO2+PO3+PO4. </w:t>
      </w:r>
      <w:r w:rsidR="00F84665">
        <w:rPr>
          <w:rFonts w:ascii="Times New Roman" w:hAnsi="Times New Roman" w:cs="Times New Roman"/>
          <w:sz w:val="24"/>
          <w:szCs w:val="24"/>
        </w:rPr>
        <w:t xml:space="preserve">PO2+PO3+PO4 has been implemented in Regulation (EU) </w:t>
      </w:r>
      <w:r w:rsidR="004B3304">
        <w:rPr>
          <w:rFonts w:ascii="Times New Roman" w:hAnsi="Times New Roman" w:cs="Times New Roman"/>
          <w:sz w:val="24"/>
          <w:szCs w:val="24"/>
        </w:rPr>
        <w:t>2023</w:t>
      </w:r>
      <w:r w:rsidR="00F84665">
        <w:rPr>
          <w:rFonts w:ascii="Times New Roman" w:hAnsi="Times New Roman" w:cs="Times New Roman"/>
          <w:sz w:val="24"/>
          <w:szCs w:val="24"/>
        </w:rPr>
        <w:t>/</w:t>
      </w:r>
      <w:r w:rsidR="004B3304">
        <w:rPr>
          <w:rFonts w:ascii="Times New Roman" w:hAnsi="Times New Roman" w:cs="Times New Roman"/>
          <w:sz w:val="24"/>
          <w:szCs w:val="24"/>
        </w:rPr>
        <w:t>2533</w:t>
      </w:r>
      <w:r w:rsidR="00F84665">
        <w:rPr>
          <w:rFonts w:ascii="Times New Roman" w:hAnsi="Times New Roman" w:cs="Times New Roman"/>
          <w:sz w:val="24"/>
          <w:szCs w:val="24"/>
        </w:rPr>
        <w:t xml:space="preserve"> and Delegated Regulation </w:t>
      </w:r>
      <w:r w:rsidR="004B3304">
        <w:rPr>
          <w:rFonts w:ascii="Times New Roman" w:hAnsi="Times New Roman" w:cs="Times New Roman"/>
          <w:sz w:val="24"/>
          <w:szCs w:val="24"/>
        </w:rPr>
        <w:t>2023</w:t>
      </w:r>
      <w:r w:rsidR="00F84665">
        <w:rPr>
          <w:rFonts w:ascii="Times New Roman" w:hAnsi="Times New Roman" w:cs="Times New Roman"/>
          <w:sz w:val="24"/>
          <w:szCs w:val="24"/>
        </w:rPr>
        <w:t>/</w:t>
      </w:r>
      <w:r w:rsidR="004B3304">
        <w:rPr>
          <w:rFonts w:ascii="Times New Roman" w:hAnsi="Times New Roman" w:cs="Times New Roman"/>
          <w:sz w:val="24"/>
          <w:szCs w:val="24"/>
        </w:rPr>
        <w:t>2534</w:t>
      </w:r>
      <w:r w:rsidR="00F84665">
        <w:rPr>
          <w:rFonts w:ascii="Times New Roman" w:hAnsi="Times New Roman" w:cs="Times New Roman"/>
          <w:sz w:val="24"/>
          <w:szCs w:val="24"/>
        </w:rPr>
        <w:t xml:space="preserve">, and it will apply from </w:t>
      </w:r>
      <w:r w:rsidR="00A1100B">
        <w:rPr>
          <w:rFonts w:ascii="Times New Roman" w:hAnsi="Times New Roman" w:cs="Times New Roman"/>
          <w:sz w:val="24"/>
          <w:szCs w:val="24"/>
        </w:rPr>
        <w:t>1 July</w:t>
      </w:r>
      <w:r w:rsidR="00F84665">
        <w:rPr>
          <w:rFonts w:ascii="Times New Roman" w:hAnsi="Times New Roman" w:cs="Times New Roman"/>
          <w:sz w:val="24"/>
          <w:szCs w:val="24"/>
        </w:rPr>
        <w:t xml:space="preserve"> 202</w:t>
      </w:r>
      <w:r w:rsidR="00A1100B">
        <w:rPr>
          <w:rFonts w:ascii="Times New Roman" w:hAnsi="Times New Roman" w:cs="Times New Roman"/>
          <w:sz w:val="24"/>
          <w:szCs w:val="24"/>
        </w:rPr>
        <w:t>5</w:t>
      </w:r>
      <w:r w:rsidR="00F84665">
        <w:rPr>
          <w:rFonts w:ascii="Times New Roman" w:hAnsi="Times New Roman" w:cs="Times New Roman"/>
          <w:sz w:val="24"/>
          <w:szCs w:val="24"/>
        </w:rPr>
        <w:t xml:space="preserve">. </w:t>
      </w:r>
    </w:p>
    <w:p w14:paraId="716E3FF2" w14:textId="651AD6F5" w:rsidR="006A1162" w:rsidRDefault="00987618" w:rsidP="006A1162">
      <w:pPr>
        <w:pStyle w:val="Heading2"/>
      </w:pPr>
      <w:r>
        <w:lastRenderedPageBreak/>
        <w:t>P</w:t>
      </w:r>
      <w:r w:rsidR="006A1162">
        <w:t xml:space="preserve">olicy </w:t>
      </w:r>
      <w:r w:rsidR="00573DE4">
        <w:t>as updated by</w:t>
      </w:r>
      <w:r w:rsidR="004E645A">
        <w:t xml:space="preserve"> </w:t>
      </w:r>
      <w:r w:rsidR="006A1162">
        <w:t>including a repairability score</w:t>
      </w:r>
    </w:p>
    <w:p w14:paraId="36C9208A" w14:textId="1F2E9340" w:rsidR="007C6830" w:rsidRDefault="007C6830" w:rsidP="00A32139">
      <w:pPr>
        <w:jc w:val="both"/>
        <w:rPr>
          <w:rFonts w:ascii="Times New Roman" w:hAnsi="Times New Roman" w:cs="Times New Roman"/>
          <w:sz w:val="24"/>
          <w:szCs w:val="24"/>
        </w:rPr>
      </w:pPr>
      <w:r>
        <w:rPr>
          <w:rFonts w:ascii="Times New Roman" w:hAnsi="Times New Roman" w:cs="Times New Roman"/>
          <w:sz w:val="24"/>
          <w:szCs w:val="24"/>
        </w:rPr>
        <w:t>Table 8 shows that</w:t>
      </w:r>
      <w:r w:rsidR="009F06CF">
        <w:rPr>
          <w:rFonts w:ascii="Times New Roman" w:hAnsi="Times New Roman" w:cs="Times New Roman"/>
          <w:sz w:val="24"/>
          <w:szCs w:val="24"/>
        </w:rPr>
        <w:t xml:space="preserve"> </w:t>
      </w:r>
      <w:r w:rsidR="00A32139">
        <w:rPr>
          <w:rFonts w:ascii="Times New Roman" w:hAnsi="Times New Roman" w:cs="Times New Roman"/>
          <w:sz w:val="24"/>
          <w:szCs w:val="24"/>
        </w:rPr>
        <w:t xml:space="preserve">PO4 </w:t>
      </w:r>
      <w:r w:rsidR="00D429E4">
        <w:rPr>
          <w:rFonts w:ascii="Times New Roman" w:hAnsi="Times New Roman" w:cs="Times New Roman"/>
          <w:sz w:val="24"/>
          <w:szCs w:val="24"/>
        </w:rPr>
        <w:t>is the policy option focussing</w:t>
      </w:r>
      <w:r w:rsidR="00A32139">
        <w:rPr>
          <w:rFonts w:ascii="Times New Roman" w:hAnsi="Times New Roman" w:cs="Times New Roman"/>
          <w:sz w:val="24"/>
          <w:szCs w:val="24"/>
        </w:rPr>
        <w:t xml:space="preserve"> on circular economy</w:t>
      </w:r>
      <w:r w:rsidR="00D429E4">
        <w:rPr>
          <w:rFonts w:ascii="Times New Roman" w:hAnsi="Times New Roman" w:cs="Times New Roman"/>
          <w:sz w:val="24"/>
          <w:szCs w:val="24"/>
        </w:rPr>
        <w:t xml:space="preserve">, which </w:t>
      </w:r>
      <w:r>
        <w:rPr>
          <w:rFonts w:ascii="Times New Roman" w:hAnsi="Times New Roman" w:cs="Times New Roman"/>
          <w:sz w:val="24"/>
          <w:szCs w:val="24"/>
        </w:rPr>
        <w:t>key</w:t>
      </w:r>
      <w:r w:rsidR="00D429E4">
        <w:rPr>
          <w:rFonts w:ascii="Times New Roman" w:hAnsi="Times New Roman" w:cs="Times New Roman"/>
          <w:sz w:val="24"/>
          <w:szCs w:val="24"/>
        </w:rPr>
        <w:t xml:space="preserve"> element is </w:t>
      </w:r>
      <w:r w:rsidR="00A32139">
        <w:rPr>
          <w:rFonts w:ascii="Times New Roman" w:hAnsi="Times New Roman" w:cs="Times New Roman"/>
          <w:sz w:val="24"/>
          <w:szCs w:val="24"/>
        </w:rPr>
        <w:t>the mandatory availability of a list of spare parts for a period of 10 years</w:t>
      </w:r>
      <w:r w:rsidR="00D429E4">
        <w:rPr>
          <w:rFonts w:ascii="Times New Roman" w:hAnsi="Times New Roman" w:cs="Times New Roman"/>
          <w:sz w:val="24"/>
          <w:szCs w:val="24"/>
        </w:rPr>
        <w:t>,</w:t>
      </w:r>
      <w:r w:rsidR="00A32139">
        <w:rPr>
          <w:rFonts w:ascii="Times New Roman" w:hAnsi="Times New Roman" w:cs="Times New Roman"/>
          <w:sz w:val="24"/>
          <w:szCs w:val="24"/>
        </w:rPr>
        <w:t xml:space="preserve"> after the placing on the market of the last unit of the corresponding model. </w:t>
      </w:r>
    </w:p>
    <w:p w14:paraId="0DA25585" w14:textId="79DC3436" w:rsidR="00A32139" w:rsidRDefault="007C6830" w:rsidP="00A32139">
      <w:pPr>
        <w:jc w:val="both"/>
        <w:rPr>
          <w:rFonts w:ascii="Times New Roman" w:hAnsi="Times New Roman" w:cs="Times New Roman"/>
          <w:sz w:val="24"/>
          <w:szCs w:val="24"/>
        </w:rPr>
      </w:pPr>
      <w:r>
        <w:rPr>
          <w:rFonts w:ascii="Times New Roman" w:hAnsi="Times New Roman" w:cs="Times New Roman"/>
          <w:sz w:val="24"/>
          <w:szCs w:val="24"/>
        </w:rPr>
        <w:t xml:space="preserve">Following the approach provided in point </w:t>
      </w:r>
      <w:r w:rsidR="00CC17CA">
        <w:rPr>
          <w:rFonts w:ascii="Times New Roman" w:hAnsi="Times New Roman" w:cs="Times New Roman"/>
          <w:sz w:val="24"/>
          <w:szCs w:val="24"/>
        </w:rPr>
        <w:t>5</w:t>
      </w:r>
      <w:r>
        <w:rPr>
          <w:rFonts w:ascii="Times New Roman" w:hAnsi="Times New Roman" w:cs="Times New Roman"/>
          <w:sz w:val="24"/>
          <w:szCs w:val="24"/>
        </w:rPr>
        <w:t>.1, whereby t</w:t>
      </w:r>
      <w:r w:rsidR="00A32139">
        <w:rPr>
          <w:rFonts w:ascii="Times New Roman" w:hAnsi="Times New Roman" w:cs="Times New Roman"/>
          <w:sz w:val="24"/>
          <w:szCs w:val="24"/>
        </w:rPr>
        <w:t xml:space="preserve">he repairability score </w:t>
      </w:r>
      <w:r>
        <w:rPr>
          <w:rFonts w:ascii="Times New Roman" w:hAnsi="Times New Roman" w:cs="Times New Roman"/>
          <w:sz w:val="24"/>
          <w:szCs w:val="24"/>
        </w:rPr>
        <w:t xml:space="preserve">would be an additional measure to extend the lifetime of tumble dryers from 12 to 14 years, the repairability score </w:t>
      </w:r>
      <w:r w:rsidR="00573DE4">
        <w:rPr>
          <w:rFonts w:ascii="Times New Roman" w:hAnsi="Times New Roman" w:cs="Times New Roman"/>
          <w:sz w:val="24"/>
          <w:szCs w:val="24"/>
        </w:rPr>
        <w:t>c</w:t>
      </w:r>
      <w:r w:rsidR="00987618">
        <w:rPr>
          <w:rFonts w:ascii="Times New Roman" w:hAnsi="Times New Roman" w:cs="Times New Roman"/>
          <w:sz w:val="24"/>
          <w:szCs w:val="24"/>
        </w:rPr>
        <w:t xml:space="preserve">ould </w:t>
      </w:r>
      <w:r w:rsidR="00D429E4">
        <w:rPr>
          <w:rFonts w:ascii="Times New Roman" w:hAnsi="Times New Roman" w:cs="Times New Roman"/>
          <w:sz w:val="24"/>
          <w:szCs w:val="24"/>
        </w:rPr>
        <w:t>be</w:t>
      </w:r>
      <w:r w:rsidR="006A1162">
        <w:rPr>
          <w:rFonts w:ascii="Times New Roman" w:hAnsi="Times New Roman" w:cs="Times New Roman"/>
          <w:sz w:val="24"/>
          <w:szCs w:val="24"/>
        </w:rPr>
        <w:t xml:space="preserve"> </w:t>
      </w:r>
      <w:r w:rsidR="00573DE4">
        <w:rPr>
          <w:rFonts w:ascii="Times New Roman" w:hAnsi="Times New Roman" w:cs="Times New Roman"/>
          <w:sz w:val="24"/>
          <w:szCs w:val="24"/>
        </w:rPr>
        <w:t xml:space="preserve">considered </w:t>
      </w:r>
      <w:r w:rsidR="00987618">
        <w:rPr>
          <w:rFonts w:ascii="Times New Roman" w:hAnsi="Times New Roman" w:cs="Times New Roman"/>
          <w:sz w:val="24"/>
          <w:szCs w:val="24"/>
        </w:rPr>
        <w:t xml:space="preserve">as </w:t>
      </w:r>
      <w:r w:rsidR="00A32139">
        <w:rPr>
          <w:rFonts w:ascii="Times New Roman" w:hAnsi="Times New Roman" w:cs="Times New Roman"/>
          <w:sz w:val="24"/>
          <w:szCs w:val="24"/>
        </w:rPr>
        <w:t xml:space="preserve">an </w:t>
      </w:r>
      <w:r w:rsidR="00362B0A">
        <w:rPr>
          <w:rFonts w:ascii="Times New Roman" w:hAnsi="Times New Roman" w:cs="Times New Roman"/>
          <w:sz w:val="24"/>
          <w:szCs w:val="24"/>
        </w:rPr>
        <w:t xml:space="preserve">additional </w:t>
      </w:r>
      <w:r w:rsidR="00A32139">
        <w:rPr>
          <w:rFonts w:ascii="Times New Roman" w:hAnsi="Times New Roman" w:cs="Times New Roman"/>
          <w:sz w:val="24"/>
          <w:szCs w:val="24"/>
        </w:rPr>
        <w:t>element of policy option PO4</w:t>
      </w:r>
      <w:r w:rsidR="00614455">
        <w:rPr>
          <w:rFonts w:ascii="Times New Roman" w:hAnsi="Times New Roman" w:cs="Times New Roman"/>
          <w:sz w:val="24"/>
          <w:szCs w:val="24"/>
        </w:rPr>
        <w:t xml:space="preserve">. The updated </w:t>
      </w:r>
      <w:r w:rsidR="004B2A1E">
        <w:rPr>
          <w:rFonts w:ascii="Times New Roman" w:hAnsi="Times New Roman" w:cs="Times New Roman"/>
          <w:sz w:val="24"/>
          <w:szCs w:val="24"/>
        </w:rPr>
        <w:t>policy option on circular economy</w:t>
      </w:r>
      <w:r w:rsidR="00614455">
        <w:rPr>
          <w:rFonts w:ascii="Times New Roman" w:hAnsi="Times New Roman" w:cs="Times New Roman"/>
          <w:sz w:val="24"/>
          <w:szCs w:val="24"/>
        </w:rPr>
        <w:t xml:space="preserve"> (PO4u)</w:t>
      </w:r>
      <w:r>
        <w:rPr>
          <w:rFonts w:ascii="Times New Roman" w:hAnsi="Times New Roman" w:cs="Times New Roman"/>
          <w:sz w:val="24"/>
          <w:szCs w:val="24"/>
        </w:rPr>
        <w:t>, then consist</w:t>
      </w:r>
      <w:r w:rsidR="006912D1">
        <w:rPr>
          <w:rFonts w:ascii="Times New Roman" w:hAnsi="Times New Roman" w:cs="Times New Roman"/>
          <w:sz w:val="24"/>
          <w:szCs w:val="24"/>
        </w:rPr>
        <w:t>s</w:t>
      </w:r>
      <w:r>
        <w:rPr>
          <w:rFonts w:ascii="Times New Roman" w:hAnsi="Times New Roman" w:cs="Times New Roman"/>
          <w:sz w:val="24"/>
          <w:szCs w:val="24"/>
        </w:rPr>
        <w:t xml:space="preserve"> of </w:t>
      </w:r>
      <w:r w:rsidR="00A32139">
        <w:rPr>
          <w:rFonts w:ascii="Times New Roman" w:hAnsi="Times New Roman" w:cs="Times New Roman"/>
          <w:sz w:val="24"/>
          <w:szCs w:val="24"/>
        </w:rPr>
        <w:t>the following items:</w:t>
      </w:r>
    </w:p>
    <w:p w14:paraId="147C65C2" w14:textId="03587216" w:rsidR="00BD1475" w:rsidRDefault="00BD1475" w:rsidP="00A32139">
      <w:pPr>
        <w:pStyle w:val="ListParagraph"/>
        <w:numPr>
          <w:ilvl w:val="0"/>
          <w:numId w:val="4"/>
        </w:numPr>
        <w:contextualSpacing w:val="0"/>
        <w:jc w:val="both"/>
        <w:rPr>
          <w:rFonts w:ascii="Times New Roman" w:hAnsi="Times New Roman" w:cs="Times New Roman"/>
          <w:sz w:val="24"/>
          <w:szCs w:val="24"/>
        </w:rPr>
      </w:pPr>
      <w:r w:rsidRPr="00997BF4">
        <w:rPr>
          <w:rFonts w:ascii="Times New Roman" w:hAnsi="Times New Roman" w:cs="Times New Roman"/>
          <w:b/>
          <w:bCs/>
          <w:sz w:val="24"/>
          <w:szCs w:val="24"/>
        </w:rPr>
        <w:t>Items from the 2022 IA</w:t>
      </w:r>
      <w:r>
        <w:rPr>
          <w:rFonts w:ascii="Times New Roman" w:hAnsi="Times New Roman" w:cs="Times New Roman"/>
          <w:sz w:val="24"/>
          <w:szCs w:val="24"/>
        </w:rPr>
        <w:t>: mandatory availability of spare parts, mandatory access to repair and maintenance information, permanent marking of the refrigerant type, information on the location of the filters and the need to clean them regularly, and</w:t>
      </w:r>
      <w:r w:rsidRPr="00987A86">
        <w:rPr>
          <w:rFonts w:ascii="Times New Roman" w:hAnsi="Times New Roman" w:cs="Times New Roman"/>
          <w:sz w:val="24"/>
          <w:szCs w:val="24"/>
        </w:rPr>
        <w:t xml:space="preserve"> availability of information for enhanced disassembly/recovery of WEEE-components and refrigerants</w:t>
      </w:r>
      <w:r>
        <w:rPr>
          <w:rFonts w:ascii="Times New Roman" w:hAnsi="Times New Roman" w:cs="Times New Roman"/>
          <w:sz w:val="24"/>
          <w:szCs w:val="24"/>
        </w:rPr>
        <w:t>.</w:t>
      </w:r>
    </w:p>
    <w:p w14:paraId="27B78E55" w14:textId="3B5B8945" w:rsidR="00A32139" w:rsidRDefault="00A32139" w:rsidP="00A32139">
      <w:pPr>
        <w:pStyle w:val="ListParagraph"/>
        <w:numPr>
          <w:ilvl w:val="0"/>
          <w:numId w:val="4"/>
        </w:numPr>
        <w:contextualSpacing w:val="0"/>
        <w:jc w:val="both"/>
        <w:rPr>
          <w:rFonts w:ascii="Times New Roman" w:hAnsi="Times New Roman" w:cs="Times New Roman"/>
          <w:sz w:val="24"/>
          <w:szCs w:val="24"/>
        </w:rPr>
      </w:pPr>
      <w:r w:rsidRPr="00997BF4">
        <w:rPr>
          <w:rFonts w:ascii="Times New Roman" w:hAnsi="Times New Roman" w:cs="Times New Roman"/>
          <w:b/>
          <w:bCs/>
          <w:sz w:val="24"/>
          <w:szCs w:val="24"/>
        </w:rPr>
        <w:t>New item</w:t>
      </w:r>
      <w:r>
        <w:rPr>
          <w:rFonts w:ascii="Times New Roman" w:hAnsi="Times New Roman" w:cs="Times New Roman"/>
          <w:sz w:val="24"/>
          <w:szCs w:val="24"/>
        </w:rPr>
        <w:t xml:space="preserve">: </w:t>
      </w:r>
      <w:r w:rsidR="00987618">
        <w:rPr>
          <w:rFonts w:ascii="Times New Roman" w:hAnsi="Times New Roman" w:cs="Times New Roman"/>
          <w:sz w:val="24"/>
          <w:szCs w:val="24"/>
        </w:rPr>
        <w:t xml:space="preserve">addition of an A-to-D </w:t>
      </w:r>
      <w:r>
        <w:rPr>
          <w:rFonts w:ascii="Times New Roman" w:hAnsi="Times New Roman" w:cs="Times New Roman"/>
          <w:sz w:val="24"/>
          <w:szCs w:val="24"/>
        </w:rPr>
        <w:t>repairability scale</w:t>
      </w:r>
      <w:r w:rsidR="00987618">
        <w:rPr>
          <w:rFonts w:ascii="Times New Roman" w:hAnsi="Times New Roman" w:cs="Times New Roman"/>
          <w:sz w:val="24"/>
          <w:szCs w:val="24"/>
        </w:rPr>
        <w:t xml:space="preserve"> to the energy label</w:t>
      </w:r>
      <w:r>
        <w:rPr>
          <w:rFonts w:ascii="Times New Roman" w:hAnsi="Times New Roman" w:cs="Times New Roman"/>
          <w:sz w:val="24"/>
          <w:szCs w:val="24"/>
        </w:rPr>
        <w:t>, based on the repairability score</w:t>
      </w:r>
      <w:r w:rsidR="00987618">
        <w:rPr>
          <w:rFonts w:ascii="Times New Roman" w:hAnsi="Times New Roman" w:cs="Times New Roman"/>
          <w:sz w:val="24"/>
          <w:szCs w:val="24"/>
        </w:rPr>
        <w:t xml:space="preserve"> explained in point </w:t>
      </w:r>
      <w:r w:rsidR="00CC17CA">
        <w:rPr>
          <w:rFonts w:ascii="Times New Roman" w:hAnsi="Times New Roman" w:cs="Times New Roman"/>
          <w:sz w:val="24"/>
          <w:szCs w:val="24"/>
        </w:rPr>
        <w:t>5</w:t>
      </w:r>
      <w:r w:rsidR="00987618">
        <w:rPr>
          <w:rFonts w:ascii="Times New Roman" w:hAnsi="Times New Roman" w:cs="Times New Roman"/>
          <w:sz w:val="24"/>
          <w:szCs w:val="24"/>
        </w:rPr>
        <w:t>.3</w:t>
      </w:r>
      <w:r>
        <w:rPr>
          <w:rFonts w:ascii="Times New Roman" w:hAnsi="Times New Roman" w:cs="Times New Roman"/>
          <w:sz w:val="24"/>
          <w:szCs w:val="24"/>
        </w:rPr>
        <w:t>. The letter corresponding to the class of the product within the scale will appear bigger than the rest of the letters.</w:t>
      </w:r>
    </w:p>
    <w:p w14:paraId="1CE98F0B" w14:textId="1A36A20C" w:rsidR="00614455" w:rsidRDefault="007C6830" w:rsidP="00A32139">
      <w:pPr>
        <w:jc w:val="both"/>
        <w:rPr>
          <w:rFonts w:ascii="Times New Roman" w:hAnsi="Times New Roman" w:cs="Times New Roman"/>
          <w:sz w:val="24"/>
          <w:szCs w:val="24"/>
        </w:rPr>
      </w:pPr>
      <w:r>
        <w:rPr>
          <w:rFonts w:ascii="Times New Roman" w:hAnsi="Times New Roman" w:cs="Times New Roman"/>
          <w:sz w:val="24"/>
          <w:szCs w:val="24"/>
        </w:rPr>
        <w:t xml:space="preserve">Further, following the 2022 IA, which preferred policy option is PO2+PO3+PO4, the policy option </w:t>
      </w:r>
      <w:r w:rsidR="00340215">
        <w:rPr>
          <w:rFonts w:ascii="Times New Roman" w:hAnsi="Times New Roman" w:cs="Times New Roman"/>
          <w:sz w:val="24"/>
          <w:szCs w:val="24"/>
        </w:rPr>
        <w:t xml:space="preserve">which impacts are to be calculated </w:t>
      </w:r>
      <w:r>
        <w:rPr>
          <w:rFonts w:ascii="Times New Roman" w:hAnsi="Times New Roman" w:cs="Times New Roman"/>
          <w:sz w:val="24"/>
          <w:szCs w:val="24"/>
        </w:rPr>
        <w:t>in this Section is PO2+PO3+PO4u.</w:t>
      </w:r>
      <w:r w:rsidR="00614455">
        <w:rPr>
          <w:rFonts w:ascii="Times New Roman" w:hAnsi="Times New Roman" w:cs="Times New Roman"/>
          <w:sz w:val="24"/>
          <w:szCs w:val="24"/>
        </w:rPr>
        <w:t xml:space="preserve"> </w:t>
      </w:r>
    </w:p>
    <w:p w14:paraId="2077C3B5" w14:textId="30861089" w:rsidR="00074A94" w:rsidRDefault="00074A94" w:rsidP="00074A94">
      <w:pPr>
        <w:jc w:val="both"/>
        <w:rPr>
          <w:rFonts w:ascii="Times New Roman" w:hAnsi="Times New Roman" w:cs="Times New Roman"/>
          <w:sz w:val="24"/>
          <w:szCs w:val="24"/>
        </w:rPr>
      </w:pPr>
      <w:r>
        <w:rPr>
          <w:rFonts w:ascii="Times New Roman" w:hAnsi="Times New Roman" w:cs="Times New Roman"/>
          <w:sz w:val="24"/>
          <w:szCs w:val="24"/>
        </w:rPr>
        <w:t xml:space="preserve">To give industry time to adapt to </w:t>
      </w:r>
      <w:r w:rsidR="007C6830">
        <w:rPr>
          <w:rFonts w:ascii="Times New Roman" w:hAnsi="Times New Roman" w:cs="Times New Roman"/>
          <w:sz w:val="24"/>
          <w:szCs w:val="24"/>
        </w:rPr>
        <w:t xml:space="preserve">the new policy </w:t>
      </w:r>
      <w:r w:rsidR="00287C9B">
        <w:rPr>
          <w:rFonts w:ascii="Times New Roman" w:hAnsi="Times New Roman" w:cs="Times New Roman"/>
          <w:sz w:val="24"/>
          <w:szCs w:val="24"/>
        </w:rPr>
        <w:t>PO2+PO3+PO4u</w:t>
      </w:r>
      <w:r>
        <w:rPr>
          <w:rFonts w:ascii="Times New Roman" w:hAnsi="Times New Roman" w:cs="Times New Roman"/>
          <w:sz w:val="24"/>
          <w:szCs w:val="24"/>
        </w:rPr>
        <w:t xml:space="preserve">, </w:t>
      </w:r>
      <w:r w:rsidR="00340215">
        <w:rPr>
          <w:rFonts w:ascii="Times New Roman" w:hAnsi="Times New Roman" w:cs="Times New Roman"/>
          <w:sz w:val="24"/>
          <w:szCs w:val="24"/>
        </w:rPr>
        <w:t xml:space="preserve">which on the one hand implies </w:t>
      </w:r>
      <w:r w:rsidR="00723B14">
        <w:rPr>
          <w:rFonts w:ascii="Times New Roman" w:hAnsi="Times New Roman" w:cs="Times New Roman"/>
          <w:sz w:val="24"/>
          <w:szCs w:val="24"/>
        </w:rPr>
        <w:t xml:space="preserve">fixing the new label with </w:t>
      </w:r>
      <w:r w:rsidR="00340215">
        <w:rPr>
          <w:rFonts w:ascii="Times New Roman" w:hAnsi="Times New Roman" w:cs="Times New Roman"/>
          <w:sz w:val="24"/>
          <w:szCs w:val="24"/>
        </w:rPr>
        <w:t>the repairability scale</w:t>
      </w:r>
      <w:r w:rsidR="00723B14">
        <w:rPr>
          <w:rFonts w:ascii="Times New Roman" w:hAnsi="Times New Roman" w:cs="Times New Roman"/>
          <w:sz w:val="24"/>
          <w:szCs w:val="24"/>
        </w:rPr>
        <w:t xml:space="preserve"> on</w:t>
      </w:r>
      <w:r w:rsidR="00340215">
        <w:rPr>
          <w:rFonts w:ascii="Times New Roman" w:hAnsi="Times New Roman" w:cs="Times New Roman"/>
          <w:sz w:val="24"/>
          <w:szCs w:val="24"/>
        </w:rPr>
        <w:t xml:space="preserve"> units placed on the market for the first time, and on the other hand the </w:t>
      </w:r>
      <w:r w:rsidR="00723B14">
        <w:rPr>
          <w:rFonts w:ascii="Times New Roman" w:hAnsi="Times New Roman" w:cs="Times New Roman"/>
          <w:sz w:val="24"/>
          <w:szCs w:val="24"/>
        </w:rPr>
        <w:t xml:space="preserve">possible </w:t>
      </w:r>
      <w:r w:rsidR="00340215">
        <w:rPr>
          <w:rFonts w:ascii="Times New Roman" w:hAnsi="Times New Roman" w:cs="Times New Roman"/>
          <w:sz w:val="24"/>
          <w:szCs w:val="24"/>
        </w:rPr>
        <w:t xml:space="preserve">relabelling of units already placed on the market by the date of application of the new measure, </w:t>
      </w:r>
      <w:r w:rsidR="007C6830">
        <w:rPr>
          <w:rFonts w:ascii="Times New Roman" w:hAnsi="Times New Roman" w:cs="Times New Roman"/>
          <w:sz w:val="24"/>
          <w:szCs w:val="24"/>
        </w:rPr>
        <w:t>the</w:t>
      </w:r>
      <w:r w:rsidR="00723B14">
        <w:rPr>
          <w:rFonts w:ascii="Times New Roman" w:hAnsi="Times New Roman" w:cs="Times New Roman"/>
          <w:sz w:val="24"/>
          <w:szCs w:val="24"/>
        </w:rPr>
        <w:t xml:space="preserve"> impact model assumes an</w:t>
      </w:r>
      <w:r w:rsidR="007C6830">
        <w:rPr>
          <w:rFonts w:ascii="Times New Roman" w:hAnsi="Times New Roman" w:cs="Times New Roman"/>
          <w:sz w:val="24"/>
          <w:szCs w:val="24"/>
        </w:rPr>
        <w:t xml:space="preserve"> </w:t>
      </w:r>
      <w:r w:rsidR="00723B14">
        <w:rPr>
          <w:rFonts w:ascii="Times New Roman" w:hAnsi="Times New Roman" w:cs="Times New Roman"/>
          <w:sz w:val="24"/>
          <w:szCs w:val="24"/>
        </w:rPr>
        <w:t>obligation to fix the</w:t>
      </w:r>
      <w:r w:rsidR="00340215">
        <w:rPr>
          <w:rFonts w:ascii="Times New Roman" w:hAnsi="Times New Roman" w:cs="Times New Roman"/>
          <w:sz w:val="24"/>
          <w:szCs w:val="24"/>
        </w:rPr>
        <w:t xml:space="preserve"> new energy label </w:t>
      </w:r>
      <w:r w:rsidR="00723B14">
        <w:rPr>
          <w:rFonts w:ascii="Times New Roman" w:hAnsi="Times New Roman" w:cs="Times New Roman"/>
          <w:sz w:val="24"/>
          <w:szCs w:val="24"/>
        </w:rPr>
        <w:t xml:space="preserve">by </w:t>
      </w:r>
      <w:r w:rsidR="007C6830">
        <w:rPr>
          <w:rFonts w:ascii="Times New Roman" w:hAnsi="Times New Roman" w:cs="Times New Roman"/>
          <w:sz w:val="24"/>
          <w:szCs w:val="24"/>
        </w:rPr>
        <w:t>1 year</w:t>
      </w:r>
      <w:r>
        <w:rPr>
          <w:rFonts w:ascii="Times New Roman" w:hAnsi="Times New Roman" w:cs="Times New Roman"/>
          <w:sz w:val="24"/>
          <w:szCs w:val="24"/>
        </w:rPr>
        <w:t xml:space="preserve"> </w:t>
      </w:r>
      <w:r w:rsidR="00723B14">
        <w:rPr>
          <w:rFonts w:ascii="Times New Roman" w:hAnsi="Times New Roman" w:cs="Times New Roman"/>
          <w:sz w:val="24"/>
          <w:szCs w:val="24"/>
        </w:rPr>
        <w:t xml:space="preserve">after </w:t>
      </w:r>
      <w:r>
        <w:rPr>
          <w:rFonts w:ascii="Times New Roman" w:hAnsi="Times New Roman" w:cs="Times New Roman"/>
          <w:sz w:val="24"/>
          <w:szCs w:val="24"/>
        </w:rPr>
        <w:t xml:space="preserve">the date of application of </w:t>
      </w:r>
      <w:r w:rsidR="007C6830">
        <w:rPr>
          <w:rFonts w:ascii="Times New Roman" w:hAnsi="Times New Roman" w:cs="Times New Roman"/>
          <w:sz w:val="24"/>
          <w:szCs w:val="24"/>
        </w:rPr>
        <w:t xml:space="preserve">Regulation </w:t>
      </w:r>
      <w:r w:rsidR="00723B14">
        <w:rPr>
          <w:rFonts w:ascii="Times New Roman" w:hAnsi="Times New Roman" w:cs="Times New Roman"/>
          <w:sz w:val="24"/>
          <w:szCs w:val="24"/>
        </w:rPr>
        <w:t>2023</w:t>
      </w:r>
      <w:r w:rsidR="007C6830">
        <w:rPr>
          <w:rFonts w:ascii="Times New Roman" w:hAnsi="Times New Roman" w:cs="Times New Roman"/>
          <w:sz w:val="24"/>
          <w:szCs w:val="24"/>
        </w:rPr>
        <w:t>/</w:t>
      </w:r>
      <w:r w:rsidR="00723B14">
        <w:rPr>
          <w:rFonts w:ascii="Times New Roman" w:hAnsi="Times New Roman" w:cs="Times New Roman"/>
          <w:sz w:val="24"/>
          <w:szCs w:val="24"/>
        </w:rPr>
        <w:t>2534</w:t>
      </w:r>
      <w:r w:rsidR="00340215">
        <w:rPr>
          <w:rFonts w:ascii="Times New Roman" w:hAnsi="Times New Roman" w:cs="Times New Roman"/>
          <w:sz w:val="24"/>
          <w:szCs w:val="24"/>
        </w:rPr>
        <w:t>,</w:t>
      </w:r>
      <w:r w:rsidR="00723B14">
        <w:rPr>
          <w:rFonts w:ascii="Times New Roman" w:hAnsi="Times New Roman" w:cs="Times New Roman"/>
          <w:sz w:val="24"/>
          <w:szCs w:val="24"/>
        </w:rPr>
        <w:t xml:space="preserve"> </w:t>
      </w:r>
      <w:r>
        <w:rPr>
          <w:rFonts w:ascii="Times New Roman" w:hAnsi="Times New Roman" w:cs="Times New Roman"/>
          <w:sz w:val="24"/>
          <w:szCs w:val="24"/>
        </w:rPr>
        <w:t xml:space="preserve">namely </w:t>
      </w:r>
      <w:r w:rsidR="00340215">
        <w:rPr>
          <w:rFonts w:ascii="Times New Roman" w:hAnsi="Times New Roman" w:cs="Times New Roman"/>
          <w:sz w:val="24"/>
          <w:szCs w:val="24"/>
        </w:rPr>
        <w:t>1 July</w:t>
      </w:r>
      <w:r>
        <w:rPr>
          <w:rFonts w:ascii="Times New Roman" w:hAnsi="Times New Roman" w:cs="Times New Roman"/>
          <w:sz w:val="24"/>
          <w:szCs w:val="24"/>
        </w:rPr>
        <w:t xml:space="preserve"> 202</w:t>
      </w:r>
      <w:r w:rsidR="00340215">
        <w:rPr>
          <w:rFonts w:ascii="Times New Roman" w:hAnsi="Times New Roman" w:cs="Times New Roman"/>
          <w:sz w:val="24"/>
          <w:szCs w:val="24"/>
        </w:rPr>
        <w:t>6</w:t>
      </w:r>
      <w:r>
        <w:rPr>
          <w:rFonts w:ascii="Times New Roman" w:hAnsi="Times New Roman" w:cs="Times New Roman"/>
          <w:sz w:val="24"/>
          <w:szCs w:val="24"/>
        </w:rPr>
        <w:t xml:space="preserve">. This means that, during the first year of application of the new Regulations, the impacts </w:t>
      </w:r>
      <w:r w:rsidR="00340215">
        <w:rPr>
          <w:rFonts w:ascii="Times New Roman" w:hAnsi="Times New Roman" w:cs="Times New Roman"/>
          <w:sz w:val="24"/>
          <w:szCs w:val="24"/>
        </w:rPr>
        <w:t>calculated</w:t>
      </w:r>
      <w:r>
        <w:rPr>
          <w:rFonts w:ascii="Times New Roman" w:hAnsi="Times New Roman" w:cs="Times New Roman"/>
          <w:sz w:val="24"/>
          <w:szCs w:val="24"/>
        </w:rPr>
        <w:t xml:space="preserve"> in the 2022 IA </w:t>
      </w:r>
      <w:r w:rsidR="00340215">
        <w:rPr>
          <w:rFonts w:ascii="Times New Roman" w:hAnsi="Times New Roman" w:cs="Times New Roman"/>
          <w:sz w:val="24"/>
          <w:szCs w:val="24"/>
        </w:rPr>
        <w:t xml:space="preserve">for PO2+PO3+PO4 </w:t>
      </w:r>
      <w:r>
        <w:rPr>
          <w:rFonts w:ascii="Times New Roman" w:hAnsi="Times New Roman" w:cs="Times New Roman"/>
          <w:sz w:val="24"/>
          <w:szCs w:val="24"/>
        </w:rPr>
        <w:t>apply, and from 202</w:t>
      </w:r>
      <w:r w:rsidR="00340215">
        <w:rPr>
          <w:rFonts w:ascii="Times New Roman" w:hAnsi="Times New Roman" w:cs="Times New Roman"/>
          <w:sz w:val="24"/>
          <w:szCs w:val="24"/>
        </w:rPr>
        <w:t>6</w:t>
      </w:r>
      <w:r>
        <w:rPr>
          <w:rFonts w:ascii="Times New Roman" w:hAnsi="Times New Roman" w:cs="Times New Roman"/>
          <w:sz w:val="24"/>
          <w:szCs w:val="24"/>
        </w:rPr>
        <w:t xml:space="preserve"> onwards th</w:t>
      </w:r>
      <w:r w:rsidR="00287C9B">
        <w:rPr>
          <w:rFonts w:ascii="Times New Roman" w:hAnsi="Times New Roman" w:cs="Times New Roman"/>
          <w:sz w:val="24"/>
          <w:szCs w:val="24"/>
        </w:rPr>
        <w:t>os</w:t>
      </w:r>
      <w:r>
        <w:rPr>
          <w:rFonts w:ascii="Times New Roman" w:hAnsi="Times New Roman" w:cs="Times New Roman"/>
          <w:sz w:val="24"/>
          <w:szCs w:val="24"/>
        </w:rPr>
        <w:t>e impacts need to be reassessed for PO2+PO3+PO4u.</w:t>
      </w:r>
    </w:p>
    <w:p w14:paraId="0B3FD720" w14:textId="42BC81A9" w:rsidR="000F4F9A" w:rsidRDefault="000F4F9A" w:rsidP="000F4F9A">
      <w:pPr>
        <w:pStyle w:val="Heading2"/>
      </w:pPr>
      <w:r>
        <w:t>Assumptions</w:t>
      </w:r>
    </w:p>
    <w:p w14:paraId="3AC68C35" w14:textId="74E0938E" w:rsidR="00A32139" w:rsidRDefault="000F4F9A" w:rsidP="00A32139">
      <w:pPr>
        <w:jc w:val="both"/>
        <w:rPr>
          <w:rFonts w:ascii="Times New Roman" w:hAnsi="Times New Roman" w:cs="Times New Roman"/>
          <w:sz w:val="24"/>
          <w:szCs w:val="24"/>
        </w:rPr>
      </w:pPr>
      <w:r>
        <w:rPr>
          <w:rFonts w:ascii="Times New Roman" w:hAnsi="Times New Roman" w:cs="Times New Roman"/>
          <w:sz w:val="24"/>
          <w:szCs w:val="24"/>
        </w:rPr>
        <w:t>T</w:t>
      </w:r>
      <w:r w:rsidR="00A32139">
        <w:rPr>
          <w:rFonts w:ascii="Times New Roman" w:hAnsi="Times New Roman" w:cs="Times New Roman"/>
          <w:sz w:val="24"/>
          <w:szCs w:val="24"/>
        </w:rPr>
        <w:t>he</w:t>
      </w:r>
      <w:r w:rsidR="00287C9B">
        <w:rPr>
          <w:rFonts w:ascii="Times New Roman" w:hAnsi="Times New Roman" w:cs="Times New Roman"/>
          <w:sz w:val="24"/>
          <w:szCs w:val="24"/>
        </w:rPr>
        <w:t xml:space="preserve"> inclusion of the</w:t>
      </w:r>
      <w:r w:rsidR="00A32139">
        <w:rPr>
          <w:rFonts w:ascii="Times New Roman" w:hAnsi="Times New Roman" w:cs="Times New Roman"/>
          <w:sz w:val="24"/>
          <w:szCs w:val="24"/>
        </w:rPr>
        <w:t xml:space="preserve"> repairability score does not change the assumptions made in the 2022 IA (Section 6 and Annex 6</w:t>
      </w:r>
      <w:r w:rsidR="00340215">
        <w:rPr>
          <w:rFonts w:ascii="Times New Roman" w:hAnsi="Times New Roman" w:cs="Times New Roman"/>
          <w:sz w:val="24"/>
          <w:szCs w:val="24"/>
        </w:rPr>
        <w:t xml:space="preserve"> in the 2022 IA</w:t>
      </w:r>
      <w:r w:rsidR="00A32139">
        <w:rPr>
          <w:rFonts w:ascii="Times New Roman" w:hAnsi="Times New Roman" w:cs="Times New Roman"/>
          <w:sz w:val="24"/>
          <w:szCs w:val="24"/>
        </w:rPr>
        <w:t>), namely:</w:t>
      </w:r>
    </w:p>
    <w:p w14:paraId="7F5803F0" w14:textId="77777777" w:rsidR="00340215" w:rsidRDefault="00340215" w:rsidP="00340215">
      <w:pPr>
        <w:pStyle w:val="ListParagraph"/>
        <w:numPr>
          <w:ilvl w:val="0"/>
          <w:numId w:val="3"/>
        </w:numPr>
        <w:contextualSpacing w:val="0"/>
        <w:jc w:val="both"/>
        <w:rPr>
          <w:rFonts w:ascii="Times New Roman" w:hAnsi="Times New Roman" w:cs="Times New Roman"/>
          <w:sz w:val="24"/>
          <w:szCs w:val="24"/>
        </w:rPr>
      </w:pPr>
      <w:r w:rsidRPr="0066422A">
        <w:rPr>
          <w:rFonts w:ascii="Times New Roman" w:hAnsi="Times New Roman" w:cs="Times New Roman"/>
          <w:sz w:val="24"/>
          <w:szCs w:val="24"/>
        </w:rPr>
        <w:t xml:space="preserve">The average lifetime of </w:t>
      </w:r>
      <w:r>
        <w:rPr>
          <w:rFonts w:ascii="Times New Roman" w:hAnsi="Times New Roman" w:cs="Times New Roman"/>
          <w:sz w:val="24"/>
          <w:szCs w:val="24"/>
        </w:rPr>
        <w:t xml:space="preserve">tumble </w:t>
      </w:r>
      <w:r w:rsidRPr="0066422A">
        <w:rPr>
          <w:rFonts w:ascii="Times New Roman" w:hAnsi="Times New Roman" w:cs="Times New Roman"/>
          <w:sz w:val="24"/>
          <w:szCs w:val="24"/>
        </w:rPr>
        <w:t xml:space="preserve">dryers increases from 12 to 14 years. </w:t>
      </w:r>
    </w:p>
    <w:p w14:paraId="6DFD8E24" w14:textId="0E20A7C3" w:rsidR="00A32139" w:rsidRPr="00546A7B" w:rsidRDefault="00A04B46" w:rsidP="00A32139">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There is no</w:t>
      </w:r>
      <w:r w:rsidR="00A32139">
        <w:rPr>
          <w:rFonts w:ascii="Times New Roman" w:hAnsi="Times New Roman" w:cs="Times New Roman"/>
          <w:sz w:val="24"/>
          <w:szCs w:val="24"/>
        </w:rPr>
        <w:t xml:space="preserve"> </w:t>
      </w:r>
      <w:r w:rsidR="00A32139" w:rsidRPr="00546A7B">
        <w:rPr>
          <w:rFonts w:ascii="Times New Roman" w:hAnsi="Times New Roman" w:cs="Times New Roman"/>
          <w:sz w:val="24"/>
          <w:szCs w:val="24"/>
        </w:rPr>
        <w:t xml:space="preserve">change </w:t>
      </w:r>
      <w:r>
        <w:rPr>
          <w:rFonts w:ascii="Times New Roman" w:hAnsi="Times New Roman" w:cs="Times New Roman"/>
          <w:sz w:val="24"/>
          <w:szCs w:val="24"/>
        </w:rPr>
        <w:t xml:space="preserve">of </w:t>
      </w:r>
      <w:r w:rsidR="00A32139" w:rsidRPr="00546A7B">
        <w:rPr>
          <w:rFonts w:ascii="Times New Roman" w:hAnsi="Times New Roman" w:cs="Times New Roman"/>
          <w:sz w:val="24"/>
          <w:szCs w:val="24"/>
        </w:rPr>
        <w:t>the total</w:t>
      </w:r>
      <w:r w:rsidR="00A32139">
        <w:rPr>
          <w:rFonts w:ascii="Times New Roman" w:hAnsi="Times New Roman" w:cs="Times New Roman"/>
          <w:sz w:val="24"/>
          <w:szCs w:val="24"/>
        </w:rPr>
        <w:t xml:space="preserve"> EU</w:t>
      </w:r>
      <w:r w:rsidR="00A32139" w:rsidRPr="00546A7B">
        <w:rPr>
          <w:rFonts w:ascii="Times New Roman" w:hAnsi="Times New Roman" w:cs="Times New Roman"/>
          <w:sz w:val="24"/>
          <w:szCs w:val="24"/>
        </w:rPr>
        <w:t xml:space="preserve"> stock estimated for</w:t>
      </w:r>
      <w:r w:rsidR="00A32139">
        <w:rPr>
          <w:rFonts w:ascii="Times New Roman" w:hAnsi="Times New Roman" w:cs="Times New Roman"/>
          <w:sz w:val="24"/>
          <w:szCs w:val="24"/>
        </w:rPr>
        <w:t xml:space="preserve"> the</w:t>
      </w:r>
      <w:r w:rsidR="00A32139" w:rsidRPr="00546A7B">
        <w:rPr>
          <w:rFonts w:ascii="Times New Roman" w:hAnsi="Times New Roman" w:cs="Times New Roman"/>
          <w:sz w:val="24"/>
          <w:szCs w:val="24"/>
        </w:rPr>
        <w:t xml:space="preserve"> </w:t>
      </w:r>
      <w:r w:rsidR="00A32139">
        <w:rPr>
          <w:rFonts w:ascii="Times New Roman" w:hAnsi="Times New Roman" w:cs="Times New Roman"/>
          <w:sz w:val="24"/>
          <w:szCs w:val="24"/>
        </w:rPr>
        <w:t>business-as-usual scenario (</w:t>
      </w:r>
      <w:r w:rsidR="00A32139" w:rsidRPr="00546A7B">
        <w:rPr>
          <w:rFonts w:ascii="Times New Roman" w:hAnsi="Times New Roman" w:cs="Times New Roman"/>
          <w:sz w:val="24"/>
          <w:szCs w:val="24"/>
        </w:rPr>
        <w:t>BAU</w:t>
      </w:r>
      <w:r w:rsidR="00A32139">
        <w:rPr>
          <w:rFonts w:ascii="Times New Roman" w:hAnsi="Times New Roman" w:cs="Times New Roman"/>
          <w:sz w:val="24"/>
          <w:szCs w:val="24"/>
        </w:rPr>
        <w:t>)</w:t>
      </w:r>
      <w:r>
        <w:rPr>
          <w:rFonts w:ascii="Times New Roman" w:hAnsi="Times New Roman" w:cs="Times New Roman"/>
          <w:sz w:val="24"/>
          <w:szCs w:val="24"/>
        </w:rPr>
        <w:t xml:space="preserve"> developed in the 2022 IA</w:t>
      </w:r>
      <w:r w:rsidR="00A32139" w:rsidRPr="00546A7B">
        <w:rPr>
          <w:rFonts w:ascii="Times New Roman" w:hAnsi="Times New Roman" w:cs="Times New Roman"/>
          <w:sz w:val="24"/>
          <w:szCs w:val="24"/>
        </w:rPr>
        <w:t>.</w:t>
      </w:r>
      <w:r w:rsidR="00A32139">
        <w:rPr>
          <w:rFonts w:ascii="Times New Roman" w:hAnsi="Times New Roman" w:cs="Times New Roman"/>
          <w:sz w:val="24"/>
          <w:szCs w:val="24"/>
        </w:rPr>
        <w:t xml:space="preserve"> None of the policy options assessed in the 2022 IA </w:t>
      </w:r>
      <w:r w:rsidR="00287C9B">
        <w:rPr>
          <w:rFonts w:ascii="Times New Roman" w:hAnsi="Times New Roman" w:cs="Times New Roman"/>
          <w:sz w:val="24"/>
          <w:szCs w:val="24"/>
        </w:rPr>
        <w:t>entails a change in the stock</w:t>
      </w:r>
      <w:r w:rsidR="00A32139">
        <w:rPr>
          <w:rFonts w:ascii="Times New Roman" w:hAnsi="Times New Roman" w:cs="Times New Roman"/>
          <w:sz w:val="24"/>
          <w:szCs w:val="24"/>
        </w:rPr>
        <w:t xml:space="preserve">. </w:t>
      </w:r>
    </w:p>
    <w:p w14:paraId="27A9B934" w14:textId="0F23068B" w:rsidR="00A32139" w:rsidRDefault="00A32139" w:rsidP="00A32139">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The average repair costs per unit is around 150 €. As explained in the 2022 IA</w:t>
      </w:r>
      <w:r w:rsidRPr="0066422A">
        <w:rPr>
          <w:rFonts w:ascii="Times New Roman" w:hAnsi="Times New Roman" w:cs="Times New Roman"/>
          <w:sz w:val="24"/>
          <w:szCs w:val="24"/>
        </w:rPr>
        <w:t>, there are very different views on how often a tumble dryer is repaired</w:t>
      </w:r>
      <w:r w:rsidRPr="0066422A">
        <w:rPr>
          <w:rFonts w:ascii="Times New Roman" w:hAnsi="Times New Roman" w:cs="Times New Roman"/>
          <w:sz w:val="24"/>
          <w:szCs w:val="24"/>
          <w:lang w:val="en-US"/>
        </w:rPr>
        <w:t xml:space="preserve">, varying </w:t>
      </w:r>
      <w:r w:rsidRPr="0066422A">
        <w:rPr>
          <w:rFonts w:ascii="Times New Roman" w:hAnsi="Times New Roman" w:cs="Times New Roman"/>
          <w:sz w:val="24"/>
          <w:szCs w:val="24"/>
        </w:rPr>
        <w:t xml:space="preserve">from “it is often not repaired” according to APPLiA to </w:t>
      </w:r>
      <w:r w:rsidRPr="0066422A">
        <w:rPr>
          <w:rFonts w:ascii="Times New Roman" w:hAnsi="Times New Roman" w:cs="Times New Roman"/>
          <w:sz w:val="24"/>
          <w:szCs w:val="24"/>
          <w:lang w:val="en-US"/>
        </w:rPr>
        <w:t>“</w:t>
      </w:r>
      <w:r w:rsidRPr="0066422A">
        <w:rPr>
          <w:rFonts w:ascii="Times New Roman" w:hAnsi="Times New Roman" w:cs="Times New Roman"/>
          <w:sz w:val="24"/>
          <w:szCs w:val="24"/>
        </w:rPr>
        <w:t>twice during the lifetime” according to R.U.S.Z</w:t>
      </w:r>
      <w:r>
        <w:rPr>
          <w:rStyle w:val="FootnoteReference"/>
          <w:rFonts w:ascii="Times New Roman" w:hAnsi="Times New Roman" w:cs="Times New Roman"/>
          <w:sz w:val="24"/>
          <w:szCs w:val="24"/>
        </w:rPr>
        <w:footnoteReference w:id="21"/>
      </w:r>
      <w:r w:rsidRPr="0066422A">
        <w:rPr>
          <w:rFonts w:ascii="Times New Roman" w:hAnsi="Times New Roman" w:cs="Times New Roman"/>
          <w:sz w:val="24"/>
          <w:szCs w:val="24"/>
        </w:rPr>
        <w:t xml:space="preserve">. The </w:t>
      </w:r>
      <w:r>
        <w:rPr>
          <w:rFonts w:ascii="Times New Roman" w:hAnsi="Times New Roman" w:cs="Times New Roman"/>
          <w:sz w:val="24"/>
          <w:szCs w:val="24"/>
        </w:rPr>
        <w:lastRenderedPageBreak/>
        <w:t>review</w:t>
      </w:r>
      <w:r w:rsidRPr="0066422A">
        <w:rPr>
          <w:rFonts w:ascii="Times New Roman" w:hAnsi="Times New Roman" w:cs="Times New Roman"/>
          <w:sz w:val="24"/>
          <w:szCs w:val="24"/>
        </w:rPr>
        <w:t xml:space="preserve"> study suggests that the machines on average will be repaired 0,4 times during their lifetime</w:t>
      </w:r>
      <w:r w:rsidRPr="0066422A">
        <w:rPr>
          <w:rStyle w:val="FootnoteReference"/>
          <w:rFonts w:ascii="Times New Roman" w:hAnsi="Times New Roman" w:cs="Times New Roman"/>
          <w:sz w:val="24"/>
          <w:szCs w:val="24"/>
        </w:rPr>
        <w:footnoteReference w:id="22"/>
      </w:r>
      <w:r w:rsidRPr="0066422A">
        <w:rPr>
          <w:rFonts w:ascii="Times New Roman" w:hAnsi="Times New Roman" w:cs="Times New Roman"/>
          <w:sz w:val="24"/>
          <w:szCs w:val="24"/>
        </w:rPr>
        <w:t xml:space="preserve"> (5 €/year x 12 years/150 € per repair). To extend the lifetime, it is assumed that more repairs are required and that the repair and maintenance cost per year will increase </w:t>
      </w:r>
      <w:r w:rsidRPr="0066422A">
        <w:rPr>
          <w:rFonts w:ascii="Times New Roman" w:hAnsi="Times New Roman" w:cs="Times New Roman"/>
          <w:sz w:val="24"/>
          <w:szCs w:val="24"/>
          <w:lang w:val="en-US"/>
        </w:rPr>
        <w:t>to 8</w:t>
      </w:r>
      <w:r w:rsidRPr="0066422A">
        <w:rPr>
          <w:rFonts w:ascii="Times New Roman" w:hAnsi="Times New Roman" w:cs="Times New Roman"/>
          <w:sz w:val="24"/>
          <w:szCs w:val="24"/>
        </w:rPr>
        <w:t xml:space="preserve"> €/year</w:t>
      </w:r>
      <w:r w:rsidRPr="0066422A">
        <w:rPr>
          <w:rFonts w:ascii="Times New Roman" w:hAnsi="Times New Roman" w:cs="Times New Roman"/>
          <w:sz w:val="24"/>
          <w:szCs w:val="24"/>
          <w:lang w:val="en-US"/>
        </w:rPr>
        <w:t xml:space="preserve">. </w:t>
      </w:r>
      <w:r w:rsidRPr="0066422A">
        <w:rPr>
          <w:rFonts w:ascii="Times New Roman" w:hAnsi="Times New Roman" w:cs="Times New Roman"/>
          <w:sz w:val="24"/>
          <w:szCs w:val="24"/>
        </w:rPr>
        <w:t xml:space="preserve">With this assumption </w:t>
      </w:r>
      <w:r w:rsidRPr="0066422A">
        <w:rPr>
          <w:rFonts w:ascii="Times New Roman" w:hAnsi="Times New Roman" w:cs="Times New Roman"/>
          <w:sz w:val="24"/>
          <w:szCs w:val="24"/>
          <w:lang w:val="en-US"/>
        </w:rPr>
        <w:t xml:space="preserve">a </w:t>
      </w:r>
      <w:r w:rsidRPr="0066422A">
        <w:rPr>
          <w:rFonts w:ascii="Times New Roman" w:hAnsi="Times New Roman" w:cs="Times New Roman"/>
          <w:sz w:val="24"/>
          <w:szCs w:val="24"/>
        </w:rPr>
        <w:t xml:space="preserve">tumble dryer will </w:t>
      </w:r>
      <w:r w:rsidRPr="0066422A">
        <w:rPr>
          <w:rFonts w:ascii="Times New Roman" w:hAnsi="Times New Roman" w:cs="Times New Roman"/>
          <w:sz w:val="24"/>
          <w:szCs w:val="24"/>
          <w:lang w:val="en-US"/>
        </w:rPr>
        <w:t>o</w:t>
      </w:r>
      <w:r w:rsidRPr="0066422A">
        <w:rPr>
          <w:rFonts w:ascii="Times New Roman" w:hAnsi="Times New Roman" w:cs="Times New Roman"/>
          <w:sz w:val="24"/>
          <w:szCs w:val="24"/>
        </w:rPr>
        <w:t>n average be repaired 0,7</w:t>
      </w:r>
      <w:r w:rsidRPr="0066422A">
        <w:rPr>
          <w:rFonts w:ascii="Times New Roman" w:hAnsi="Times New Roman" w:cs="Times New Roman"/>
          <w:sz w:val="24"/>
          <w:szCs w:val="24"/>
          <w:lang w:val="en-US"/>
        </w:rPr>
        <w:t>5</w:t>
      </w:r>
      <w:r w:rsidRPr="0066422A">
        <w:rPr>
          <w:rFonts w:ascii="Times New Roman" w:hAnsi="Times New Roman" w:cs="Times New Roman"/>
          <w:sz w:val="24"/>
          <w:szCs w:val="24"/>
        </w:rPr>
        <w:t xml:space="preserve"> times during its lifetime</w:t>
      </w:r>
      <w:r w:rsidRPr="0066422A">
        <w:rPr>
          <w:rFonts w:ascii="Times New Roman" w:hAnsi="Times New Roman" w:cs="Times New Roman"/>
          <w:sz w:val="24"/>
          <w:szCs w:val="24"/>
          <w:lang w:val="en-US"/>
        </w:rPr>
        <w:t xml:space="preserve"> of 14 years</w:t>
      </w:r>
      <w:r w:rsidRPr="0066422A">
        <w:rPr>
          <w:rFonts w:ascii="Times New Roman" w:hAnsi="Times New Roman" w:cs="Times New Roman"/>
          <w:sz w:val="24"/>
          <w:szCs w:val="24"/>
        </w:rPr>
        <w:t>.</w:t>
      </w:r>
    </w:p>
    <w:p w14:paraId="2812E63C" w14:textId="58548ACB" w:rsidR="00EF4F4A" w:rsidRDefault="00EF4F4A" w:rsidP="005E56E5">
      <w:pPr>
        <w:pStyle w:val="Default"/>
        <w:numPr>
          <w:ilvl w:val="0"/>
          <w:numId w:val="3"/>
        </w:numPr>
        <w:spacing w:after="240"/>
        <w:jc w:val="both"/>
      </w:pPr>
      <w:r>
        <w:t>Price increase is fully carried over to the consumer.</w:t>
      </w:r>
    </w:p>
    <w:p w14:paraId="0404EA54" w14:textId="0602747D" w:rsidR="00362B0A" w:rsidRDefault="00362B0A" w:rsidP="000F4F9A">
      <w:pPr>
        <w:pStyle w:val="Heading2"/>
      </w:pPr>
      <w:r>
        <w:t>Impacts</w:t>
      </w:r>
    </w:p>
    <w:p w14:paraId="0770FCD1" w14:textId="1DE20C77" w:rsidR="000F4F9A" w:rsidRDefault="000F4F9A" w:rsidP="00362B0A">
      <w:pPr>
        <w:pStyle w:val="Heading3"/>
      </w:pPr>
      <w:r>
        <w:t>Environmental impacts</w:t>
      </w:r>
    </w:p>
    <w:p w14:paraId="4B2AB0DF" w14:textId="2DCDE498" w:rsidR="00312800" w:rsidRDefault="00493169" w:rsidP="00493169">
      <w:pPr>
        <w:jc w:val="both"/>
        <w:rPr>
          <w:rFonts w:ascii="Times New Roman" w:hAnsi="Times New Roman" w:cs="Times New Roman"/>
          <w:sz w:val="24"/>
          <w:szCs w:val="24"/>
        </w:rPr>
      </w:pPr>
      <w:r w:rsidRPr="00493169">
        <w:rPr>
          <w:rFonts w:ascii="Times New Roman" w:hAnsi="Times New Roman" w:cs="Times New Roman"/>
          <w:sz w:val="24"/>
          <w:szCs w:val="24"/>
        </w:rPr>
        <w:t xml:space="preserve">As explained in </w:t>
      </w:r>
      <w:r w:rsidR="00011F9A">
        <w:rPr>
          <w:rFonts w:ascii="Times New Roman" w:hAnsi="Times New Roman" w:cs="Times New Roman"/>
          <w:sz w:val="24"/>
          <w:szCs w:val="24"/>
        </w:rPr>
        <w:t>s</w:t>
      </w:r>
      <w:r w:rsidRPr="00493169">
        <w:rPr>
          <w:rFonts w:ascii="Times New Roman" w:hAnsi="Times New Roman" w:cs="Times New Roman"/>
          <w:sz w:val="24"/>
          <w:szCs w:val="24"/>
        </w:rPr>
        <w:t xml:space="preserve">ection </w:t>
      </w:r>
      <w:r w:rsidR="00011F9A">
        <w:rPr>
          <w:rFonts w:ascii="Times New Roman" w:hAnsi="Times New Roman" w:cs="Times New Roman"/>
          <w:sz w:val="24"/>
          <w:szCs w:val="24"/>
        </w:rPr>
        <w:t>5.1</w:t>
      </w:r>
      <w:r w:rsidRPr="00493169">
        <w:rPr>
          <w:rFonts w:ascii="Times New Roman" w:hAnsi="Times New Roman" w:cs="Times New Roman"/>
          <w:sz w:val="24"/>
          <w:szCs w:val="24"/>
        </w:rPr>
        <w:t xml:space="preserve">, </w:t>
      </w:r>
      <w:r>
        <w:rPr>
          <w:rFonts w:ascii="Times New Roman" w:hAnsi="Times New Roman" w:cs="Times New Roman"/>
          <w:sz w:val="24"/>
          <w:szCs w:val="24"/>
        </w:rPr>
        <w:t xml:space="preserve">the repairability score </w:t>
      </w:r>
      <w:r w:rsidR="00011F9A">
        <w:rPr>
          <w:rFonts w:ascii="Times New Roman" w:hAnsi="Times New Roman" w:cs="Times New Roman"/>
          <w:sz w:val="24"/>
          <w:szCs w:val="24"/>
        </w:rPr>
        <w:t>would</w:t>
      </w:r>
      <w:r w:rsidR="005E56E5">
        <w:rPr>
          <w:rFonts w:ascii="Times New Roman" w:hAnsi="Times New Roman" w:cs="Times New Roman"/>
          <w:sz w:val="24"/>
          <w:szCs w:val="24"/>
        </w:rPr>
        <w:t xml:space="preserve"> not change </w:t>
      </w:r>
      <w:r w:rsidR="00011F9A">
        <w:rPr>
          <w:rFonts w:ascii="Times New Roman" w:hAnsi="Times New Roman" w:cs="Times New Roman"/>
          <w:sz w:val="24"/>
          <w:szCs w:val="24"/>
        </w:rPr>
        <w:t xml:space="preserve">the </w:t>
      </w:r>
      <w:r w:rsidR="005E56E5">
        <w:rPr>
          <w:rFonts w:ascii="Times New Roman" w:hAnsi="Times New Roman" w:cs="Times New Roman"/>
          <w:sz w:val="24"/>
          <w:szCs w:val="24"/>
        </w:rPr>
        <w:t xml:space="preserve">environmental </w:t>
      </w:r>
      <w:r w:rsidR="00011F9A">
        <w:rPr>
          <w:rFonts w:ascii="Times New Roman" w:hAnsi="Times New Roman" w:cs="Times New Roman"/>
          <w:sz w:val="24"/>
          <w:szCs w:val="24"/>
        </w:rPr>
        <w:t>impacts for PO4 that were already assessed in the 2022 IA</w:t>
      </w:r>
      <w:r>
        <w:rPr>
          <w:rFonts w:ascii="Times New Roman" w:hAnsi="Times New Roman" w:cs="Times New Roman"/>
          <w:sz w:val="24"/>
          <w:szCs w:val="24"/>
        </w:rPr>
        <w:t xml:space="preserve">. </w:t>
      </w:r>
      <w:r w:rsidR="00312800">
        <w:rPr>
          <w:rFonts w:ascii="Times New Roman" w:hAnsi="Times New Roman" w:cs="Times New Roman"/>
          <w:sz w:val="24"/>
          <w:szCs w:val="24"/>
        </w:rPr>
        <w:t>The environmental impacts of PO4u</w:t>
      </w:r>
      <w:r w:rsidR="00C06499">
        <w:rPr>
          <w:rFonts w:ascii="Times New Roman" w:hAnsi="Times New Roman" w:cs="Times New Roman"/>
          <w:sz w:val="24"/>
          <w:szCs w:val="24"/>
        </w:rPr>
        <w:t xml:space="preserve"> </w:t>
      </w:r>
      <w:r w:rsidR="00312800">
        <w:rPr>
          <w:rFonts w:ascii="Times New Roman" w:hAnsi="Times New Roman" w:cs="Times New Roman"/>
          <w:sz w:val="24"/>
          <w:szCs w:val="24"/>
        </w:rPr>
        <w:t>and PO4 are the same</w:t>
      </w:r>
      <w:r w:rsidR="005E56E5">
        <w:rPr>
          <w:rFonts w:ascii="Times New Roman" w:hAnsi="Times New Roman" w:cs="Times New Roman"/>
          <w:sz w:val="24"/>
          <w:szCs w:val="24"/>
        </w:rPr>
        <w:t xml:space="preserve"> because they are calculated on the </w:t>
      </w:r>
      <w:r w:rsidR="00BC605E">
        <w:rPr>
          <w:rFonts w:ascii="Times New Roman" w:hAnsi="Times New Roman" w:cs="Times New Roman"/>
          <w:sz w:val="24"/>
          <w:szCs w:val="24"/>
        </w:rPr>
        <w:t xml:space="preserve">same </w:t>
      </w:r>
      <w:r w:rsidR="005E56E5">
        <w:rPr>
          <w:rFonts w:ascii="Times New Roman" w:hAnsi="Times New Roman" w:cs="Times New Roman"/>
          <w:sz w:val="24"/>
          <w:szCs w:val="24"/>
        </w:rPr>
        <w:t xml:space="preserve">assumption that the </w:t>
      </w:r>
      <w:r w:rsidR="00011F9A">
        <w:rPr>
          <w:rFonts w:ascii="Times New Roman" w:hAnsi="Times New Roman" w:cs="Times New Roman"/>
          <w:sz w:val="24"/>
          <w:szCs w:val="24"/>
        </w:rPr>
        <w:t>circularity measures will lengthen by two years the lifetime of appliances</w:t>
      </w:r>
      <w:r w:rsidR="00312800">
        <w:rPr>
          <w:rFonts w:ascii="Times New Roman" w:hAnsi="Times New Roman" w:cs="Times New Roman"/>
          <w:sz w:val="24"/>
          <w:szCs w:val="24"/>
        </w:rPr>
        <w:t>.</w:t>
      </w:r>
      <w:r w:rsidR="00ED2806">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796"/>
        <w:gridCol w:w="738"/>
        <w:gridCol w:w="830"/>
        <w:gridCol w:w="778"/>
        <w:gridCol w:w="734"/>
        <w:gridCol w:w="747"/>
        <w:gridCol w:w="770"/>
        <w:gridCol w:w="806"/>
      </w:tblGrid>
      <w:tr w:rsidR="00ED2806" w:rsidRPr="009472D5" w14:paraId="73E772F0" w14:textId="77777777" w:rsidTr="00914B14">
        <w:trPr>
          <w:jc w:val="center"/>
        </w:trPr>
        <w:tc>
          <w:tcPr>
            <w:tcW w:w="1689" w:type="dxa"/>
            <w:vMerge w:val="restart"/>
            <w:shd w:val="clear" w:color="auto" w:fill="D9D9D9" w:themeFill="background1" w:themeFillShade="D9"/>
            <w:vAlign w:val="bottom"/>
            <w:hideMark/>
          </w:tcPr>
          <w:p w14:paraId="4F583F1E" w14:textId="10106E3A" w:rsidR="00B20CE3" w:rsidRPr="009472D5" w:rsidRDefault="00B20CE3" w:rsidP="009472D5">
            <w:pPr>
              <w:spacing w:after="0"/>
              <w:jc w:val="center"/>
              <w:rPr>
                <w:rFonts w:ascii="Times New Roman" w:eastAsia="Times New Roman" w:hAnsi="Times New Roman" w:cs="Times New Roman"/>
                <w:sz w:val="18"/>
                <w:szCs w:val="18"/>
                <w:lang w:eastAsia="en-GB"/>
              </w:rPr>
            </w:pPr>
          </w:p>
          <w:p w14:paraId="077A3EE3" w14:textId="616165B3" w:rsidR="00B20CE3" w:rsidRPr="009472D5" w:rsidRDefault="00B20CE3" w:rsidP="009472D5">
            <w:pPr>
              <w:spacing w:after="0"/>
              <w:jc w:val="center"/>
              <w:rPr>
                <w:rFonts w:ascii="Times New Roman" w:eastAsia="Times New Roman" w:hAnsi="Times New Roman" w:cs="Times New Roman"/>
                <w:sz w:val="18"/>
                <w:szCs w:val="18"/>
                <w:lang w:eastAsia="en-GB"/>
              </w:rPr>
            </w:pPr>
          </w:p>
        </w:tc>
        <w:tc>
          <w:tcPr>
            <w:tcW w:w="3727" w:type="dxa"/>
            <w:gridSpan w:val="4"/>
            <w:shd w:val="clear" w:color="auto" w:fill="D9D9D9" w:themeFill="background1" w:themeFillShade="D9"/>
            <w:vAlign w:val="center"/>
            <w:hideMark/>
          </w:tcPr>
          <w:p w14:paraId="77CB4DE6"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Energy consumption during use [TWh/year]</w:t>
            </w:r>
          </w:p>
        </w:tc>
        <w:tc>
          <w:tcPr>
            <w:tcW w:w="1574" w:type="dxa"/>
            <w:gridSpan w:val="2"/>
            <w:shd w:val="clear" w:color="auto" w:fill="D9D9D9" w:themeFill="background1" w:themeFillShade="D9"/>
            <w:vAlign w:val="center"/>
            <w:hideMark/>
          </w:tcPr>
          <w:p w14:paraId="4D785CA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Savings [TWh/year]</w:t>
            </w:r>
          </w:p>
        </w:tc>
        <w:tc>
          <w:tcPr>
            <w:tcW w:w="1913" w:type="dxa"/>
            <w:gridSpan w:val="2"/>
            <w:shd w:val="clear" w:color="auto" w:fill="D9D9D9" w:themeFill="background1" w:themeFillShade="D9"/>
            <w:vAlign w:val="center"/>
            <w:hideMark/>
          </w:tcPr>
          <w:p w14:paraId="1D8836E3" w14:textId="70876F49"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Cumulative savings</w:t>
            </w:r>
          </w:p>
          <w:p w14:paraId="0DAE545F"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[TWh]</w:t>
            </w:r>
          </w:p>
        </w:tc>
      </w:tr>
      <w:tr w:rsidR="00BC605E" w:rsidRPr="009472D5" w14:paraId="2E142686" w14:textId="77777777" w:rsidTr="00914B14">
        <w:trPr>
          <w:jc w:val="center"/>
        </w:trPr>
        <w:tc>
          <w:tcPr>
            <w:tcW w:w="1689" w:type="dxa"/>
            <w:vMerge/>
            <w:shd w:val="clear" w:color="auto" w:fill="D9D9D9" w:themeFill="background1" w:themeFillShade="D9"/>
            <w:vAlign w:val="bottom"/>
            <w:hideMark/>
          </w:tcPr>
          <w:p w14:paraId="11314465"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p>
        </w:tc>
        <w:tc>
          <w:tcPr>
            <w:tcW w:w="953" w:type="dxa"/>
            <w:shd w:val="clear" w:color="auto" w:fill="D9D9D9" w:themeFill="background1" w:themeFillShade="D9"/>
            <w:vAlign w:val="bottom"/>
            <w:hideMark/>
          </w:tcPr>
          <w:p w14:paraId="2A199D0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2020</w:t>
            </w:r>
          </w:p>
        </w:tc>
        <w:tc>
          <w:tcPr>
            <w:tcW w:w="842" w:type="dxa"/>
            <w:shd w:val="clear" w:color="auto" w:fill="D9D9D9" w:themeFill="background1" w:themeFillShade="D9"/>
            <w:vAlign w:val="bottom"/>
            <w:hideMark/>
          </w:tcPr>
          <w:p w14:paraId="33AAC4B4"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2025</w:t>
            </w:r>
          </w:p>
        </w:tc>
        <w:tc>
          <w:tcPr>
            <w:tcW w:w="1015" w:type="dxa"/>
            <w:shd w:val="clear" w:color="auto" w:fill="D9D9D9" w:themeFill="background1" w:themeFillShade="D9"/>
            <w:vAlign w:val="bottom"/>
            <w:hideMark/>
          </w:tcPr>
          <w:p w14:paraId="39490415"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17" w:type="dxa"/>
            <w:shd w:val="clear" w:color="auto" w:fill="D9D9D9" w:themeFill="background1" w:themeFillShade="D9"/>
            <w:vAlign w:val="bottom"/>
            <w:hideMark/>
          </w:tcPr>
          <w:p w14:paraId="412E798A"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752" w:type="dxa"/>
            <w:shd w:val="clear" w:color="auto" w:fill="D9D9D9" w:themeFill="background1" w:themeFillShade="D9"/>
            <w:vAlign w:val="bottom"/>
            <w:hideMark/>
          </w:tcPr>
          <w:p w14:paraId="2EF969CB"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822" w:type="dxa"/>
            <w:shd w:val="clear" w:color="auto" w:fill="D9D9D9" w:themeFill="background1" w:themeFillShade="D9"/>
            <w:vAlign w:val="bottom"/>
            <w:hideMark/>
          </w:tcPr>
          <w:p w14:paraId="315C4F3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943" w:type="dxa"/>
            <w:shd w:val="clear" w:color="auto" w:fill="D9D9D9" w:themeFill="background1" w:themeFillShade="D9"/>
            <w:vAlign w:val="bottom"/>
            <w:hideMark/>
          </w:tcPr>
          <w:p w14:paraId="3D589D5E"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70" w:type="dxa"/>
            <w:shd w:val="clear" w:color="auto" w:fill="D9D9D9" w:themeFill="background1" w:themeFillShade="D9"/>
            <w:vAlign w:val="bottom"/>
            <w:hideMark/>
          </w:tcPr>
          <w:p w14:paraId="0B9A008F"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r>
      <w:tr w:rsidR="00BC605E" w:rsidRPr="009472D5" w14:paraId="4940692A" w14:textId="77777777" w:rsidTr="00914B14">
        <w:trPr>
          <w:jc w:val="center"/>
        </w:trPr>
        <w:tc>
          <w:tcPr>
            <w:tcW w:w="1689" w:type="dxa"/>
            <w:shd w:val="clear" w:color="auto" w:fill="auto"/>
            <w:vAlign w:val="center"/>
            <w:hideMark/>
          </w:tcPr>
          <w:p w14:paraId="56169B79" w14:textId="77777777" w:rsidR="00B20CE3" w:rsidRPr="009472D5" w:rsidRDefault="00B20CE3"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BAU</w:t>
            </w:r>
          </w:p>
        </w:tc>
        <w:tc>
          <w:tcPr>
            <w:tcW w:w="953" w:type="dxa"/>
            <w:shd w:val="clear" w:color="auto" w:fill="auto"/>
            <w:vAlign w:val="center"/>
            <w:hideMark/>
          </w:tcPr>
          <w:p w14:paraId="3C576506" w14:textId="263B2FFD"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10</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50</w:t>
            </w:r>
          </w:p>
        </w:tc>
        <w:tc>
          <w:tcPr>
            <w:tcW w:w="842" w:type="dxa"/>
            <w:shd w:val="clear" w:color="auto" w:fill="auto"/>
            <w:vAlign w:val="center"/>
            <w:hideMark/>
          </w:tcPr>
          <w:p w14:paraId="7FCB5883" w14:textId="08A07E0D"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9</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49</w:t>
            </w:r>
          </w:p>
        </w:tc>
        <w:tc>
          <w:tcPr>
            <w:tcW w:w="1015" w:type="dxa"/>
            <w:shd w:val="clear" w:color="auto" w:fill="auto"/>
            <w:vAlign w:val="center"/>
            <w:hideMark/>
          </w:tcPr>
          <w:p w14:paraId="370FA8C7" w14:textId="2F0BD686"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97</w:t>
            </w:r>
          </w:p>
        </w:tc>
        <w:tc>
          <w:tcPr>
            <w:tcW w:w="917" w:type="dxa"/>
            <w:shd w:val="clear" w:color="auto" w:fill="auto"/>
            <w:vAlign w:val="center"/>
            <w:hideMark/>
          </w:tcPr>
          <w:p w14:paraId="6ECAB8A0" w14:textId="725898A8"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10</w:t>
            </w:r>
          </w:p>
        </w:tc>
        <w:tc>
          <w:tcPr>
            <w:tcW w:w="752" w:type="dxa"/>
            <w:shd w:val="clear" w:color="auto" w:fill="auto"/>
            <w:vAlign w:val="center"/>
            <w:hideMark/>
          </w:tcPr>
          <w:p w14:paraId="7219C643" w14:textId="16C53138"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822" w:type="dxa"/>
            <w:shd w:val="clear" w:color="auto" w:fill="auto"/>
            <w:vAlign w:val="center"/>
            <w:hideMark/>
          </w:tcPr>
          <w:p w14:paraId="61D7E728" w14:textId="25FDE1D3"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943" w:type="dxa"/>
            <w:shd w:val="clear" w:color="auto" w:fill="auto"/>
            <w:vAlign w:val="center"/>
            <w:hideMark/>
          </w:tcPr>
          <w:p w14:paraId="32CBDC3F" w14:textId="17CD2323"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970" w:type="dxa"/>
            <w:shd w:val="clear" w:color="auto" w:fill="auto"/>
            <w:vAlign w:val="center"/>
            <w:hideMark/>
          </w:tcPr>
          <w:p w14:paraId="51CD3A3F" w14:textId="33C9B422"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r>
      <w:tr w:rsidR="00BC605E" w:rsidRPr="009472D5" w14:paraId="6FC99824" w14:textId="77777777" w:rsidTr="00914B14">
        <w:trPr>
          <w:jc w:val="center"/>
        </w:trPr>
        <w:tc>
          <w:tcPr>
            <w:tcW w:w="1689" w:type="dxa"/>
            <w:shd w:val="clear" w:color="auto" w:fill="auto"/>
            <w:vAlign w:val="center"/>
          </w:tcPr>
          <w:p w14:paraId="470F47C6" w14:textId="3C1AEB59" w:rsidR="00B20CE3" w:rsidRPr="009472D5" w:rsidRDefault="00C06499"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PO4/</w:t>
            </w:r>
            <w:r w:rsidR="00B20CE3" w:rsidRPr="009472D5">
              <w:rPr>
                <w:rFonts w:ascii="Times New Roman" w:eastAsia="Times New Roman" w:hAnsi="Times New Roman" w:cs="Times New Roman"/>
                <w:b/>
                <w:bCs/>
                <w:sz w:val="18"/>
                <w:szCs w:val="18"/>
                <w:lang w:eastAsia="en-GB"/>
              </w:rPr>
              <w:t>PO4</w:t>
            </w:r>
            <w:r w:rsidRPr="009472D5">
              <w:rPr>
                <w:rFonts w:ascii="Times New Roman" w:eastAsia="Times New Roman" w:hAnsi="Times New Roman" w:cs="Times New Roman"/>
                <w:b/>
                <w:bCs/>
                <w:sz w:val="18"/>
                <w:szCs w:val="18"/>
                <w:lang w:eastAsia="en-GB"/>
              </w:rPr>
              <w:t>u</w:t>
            </w:r>
          </w:p>
        </w:tc>
        <w:tc>
          <w:tcPr>
            <w:tcW w:w="953" w:type="dxa"/>
            <w:shd w:val="clear" w:color="auto" w:fill="auto"/>
            <w:vAlign w:val="center"/>
          </w:tcPr>
          <w:p w14:paraId="304156C4" w14:textId="489E24A0"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10</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50</w:t>
            </w:r>
          </w:p>
        </w:tc>
        <w:tc>
          <w:tcPr>
            <w:tcW w:w="842" w:type="dxa"/>
            <w:shd w:val="clear" w:color="auto" w:fill="auto"/>
            <w:vAlign w:val="center"/>
          </w:tcPr>
          <w:p w14:paraId="55AA5CE4" w14:textId="6ACE2EEB"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9</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49</w:t>
            </w:r>
          </w:p>
        </w:tc>
        <w:tc>
          <w:tcPr>
            <w:tcW w:w="1015" w:type="dxa"/>
            <w:shd w:val="clear" w:color="auto" w:fill="auto"/>
            <w:vAlign w:val="center"/>
          </w:tcPr>
          <w:p w14:paraId="03BA7FCF" w14:textId="2E7B1599"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97</w:t>
            </w:r>
          </w:p>
        </w:tc>
        <w:tc>
          <w:tcPr>
            <w:tcW w:w="917" w:type="dxa"/>
            <w:shd w:val="clear" w:color="auto" w:fill="auto"/>
            <w:vAlign w:val="center"/>
          </w:tcPr>
          <w:p w14:paraId="24C5C7AC" w14:textId="5DA71E4B"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16</w:t>
            </w:r>
          </w:p>
        </w:tc>
        <w:tc>
          <w:tcPr>
            <w:tcW w:w="752" w:type="dxa"/>
            <w:shd w:val="clear" w:color="auto" w:fill="auto"/>
            <w:vAlign w:val="center"/>
          </w:tcPr>
          <w:p w14:paraId="5289D00C" w14:textId="2D01428A"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822" w:type="dxa"/>
            <w:shd w:val="clear" w:color="auto" w:fill="auto"/>
            <w:vAlign w:val="center"/>
          </w:tcPr>
          <w:p w14:paraId="0BFF4FE7" w14:textId="6D8C33E4"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05</w:t>
            </w:r>
          </w:p>
        </w:tc>
        <w:tc>
          <w:tcPr>
            <w:tcW w:w="943" w:type="dxa"/>
            <w:shd w:val="clear" w:color="auto" w:fill="auto"/>
            <w:vAlign w:val="center"/>
          </w:tcPr>
          <w:p w14:paraId="5CA907D7" w14:textId="7F8AEC95"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970" w:type="dxa"/>
            <w:shd w:val="clear" w:color="auto" w:fill="auto"/>
            <w:vAlign w:val="center"/>
          </w:tcPr>
          <w:p w14:paraId="5B9EA26A" w14:textId="37303BB0"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17</w:t>
            </w:r>
          </w:p>
        </w:tc>
      </w:tr>
      <w:tr w:rsidR="00BC605E" w:rsidRPr="009472D5" w14:paraId="6DB3333E" w14:textId="77777777" w:rsidTr="00914B14">
        <w:trPr>
          <w:jc w:val="center"/>
        </w:trPr>
        <w:tc>
          <w:tcPr>
            <w:tcW w:w="1689" w:type="dxa"/>
            <w:shd w:val="clear" w:color="auto" w:fill="auto"/>
            <w:vAlign w:val="center"/>
            <w:hideMark/>
          </w:tcPr>
          <w:p w14:paraId="6160EC83" w14:textId="2C3C319C" w:rsidR="00ED2806" w:rsidRPr="00E17C14" w:rsidRDefault="00ED2806" w:rsidP="009472D5">
            <w:pPr>
              <w:spacing w:after="0"/>
              <w:rPr>
                <w:rFonts w:ascii="Times New Roman" w:eastAsia="Times New Roman" w:hAnsi="Times New Roman" w:cs="Times New Roman"/>
                <w:b/>
                <w:bCs/>
                <w:sz w:val="18"/>
                <w:szCs w:val="18"/>
                <w:lang w:val="it-IT" w:eastAsia="en-GB"/>
              </w:rPr>
            </w:pPr>
            <w:r w:rsidRPr="00E17C14">
              <w:rPr>
                <w:rFonts w:ascii="Times New Roman" w:eastAsia="Times New Roman" w:hAnsi="Times New Roman" w:cs="Times New Roman"/>
                <w:b/>
                <w:bCs/>
                <w:sz w:val="18"/>
                <w:szCs w:val="18"/>
                <w:lang w:val="it-IT" w:eastAsia="en-GB"/>
              </w:rPr>
              <w:t>PO2+PO3+PO4u</w:t>
            </w:r>
            <w:r w:rsidR="00BC605E" w:rsidRPr="00E17C14">
              <w:rPr>
                <w:rFonts w:ascii="Times New Roman" w:eastAsia="Times New Roman" w:hAnsi="Times New Roman" w:cs="Times New Roman"/>
                <w:b/>
                <w:bCs/>
                <w:sz w:val="18"/>
                <w:szCs w:val="18"/>
                <w:lang w:val="it-IT" w:eastAsia="en-GB"/>
              </w:rPr>
              <w:t>/PO2+PO3+PO4</w:t>
            </w:r>
          </w:p>
        </w:tc>
        <w:tc>
          <w:tcPr>
            <w:tcW w:w="953" w:type="dxa"/>
            <w:shd w:val="clear" w:color="auto" w:fill="auto"/>
            <w:vAlign w:val="center"/>
            <w:hideMark/>
          </w:tcPr>
          <w:p w14:paraId="5E5E588C" w14:textId="10C51358"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10</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50</w:t>
            </w:r>
          </w:p>
        </w:tc>
        <w:tc>
          <w:tcPr>
            <w:tcW w:w="842" w:type="dxa"/>
            <w:shd w:val="clear" w:color="auto" w:fill="auto"/>
            <w:vAlign w:val="center"/>
            <w:hideMark/>
          </w:tcPr>
          <w:p w14:paraId="6477CF78" w14:textId="551877C4"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9</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42</w:t>
            </w:r>
          </w:p>
        </w:tc>
        <w:tc>
          <w:tcPr>
            <w:tcW w:w="1015" w:type="dxa"/>
            <w:shd w:val="clear" w:color="auto" w:fill="auto"/>
            <w:vAlign w:val="center"/>
            <w:hideMark/>
          </w:tcPr>
          <w:p w14:paraId="635F1BEA" w14:textId="4A867A0D"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30</w:t>
            </w:r>
          </w:p>
        </w:tc>
        <w:tc>
          <w:tcPr>
            <w:tcW w:w="917" w:type="dxa"/>
            <w:shd w:val="clear" w:color="auto" w:fill="auto"/>
            <w:vAlign w:val="center"/>
            <w:hideMark/>
          </w:tcPr>
          <w:p w14:paraId="52BEBA5F" w14:textId="54D5C14A"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7</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04</w:t>
            </w:r>
          </w:p>
        </w:tc>
        <w:tc>
          <w:tcPr>
            <w:tcW w:w="752" w:type="dxa"/>
            <w:shd w:val="clear" w:color="auto" w:fill="auto"/>
            <w:vAlign w:val="center"/>
            <w:hideMark/>
          </w:tcPr>
          <w:p w14:paraId="7A00AA98" w14:textId="6A7BC77F"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67</w:t>
            </w:r>
          </w:p>
        </w:tc>
        <w:tc>
          <w:tcPr>
            <w:tcW w:w="822" w:type="dxa"/>
            <w:shd w:val="clear" w:color="auto" w:fill="auto"/>
            <w:vAlign w:val="center"/>
            <w:hideMark/>
          </w:tcPr>
          <w:p w14:paraId="069D927E" w14:textId="0C3F7AD0"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06</w:t>
            </w:r>
          </w:p>
        </w:tc>
        <w:tc>
          <w:tcPr>
            <w:tcW w:w="943" w:type="dxa"/>
            <w:shd w:val="clear" w:color="auto" w:fill="auto"/>
            <w:vAlign w:val="center"/>
            <w:hideMark/>
          </w:tcPr>
          <w:p w14:paraId="66099641" w14:textId="7F48CC84"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11</w:t>
            </w:r>
          </w:p>
        </w:tc>
        <w:tc>
          <w:tcPr>
            <w:tcW w:w="970" w:type="dxa"/>
            <w:shd w:val="clear" w:color="auto" w:fill="auto"/>
            <w:vAlign w:val="center"/>
            <w:hideMark/>
          </w:tcPr>
          <w:p w14:paraId="18D63B72" w14:textId="4130C1C0"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57</w:t>
            </w:r>
          </w:p>
        </w:tc>
      </w:tr>
      <w:tr w:rsidR="00ED2806" w:rsidRPr="009472D5" w14:paraId="7C148E86" w14:textId="77777777" w:rsidTr="00914B14">
        <w:trPr>
          <w:jc w:val="center"/>
        </w:trPr>
        <w:tc>
          <w:tcPr>
            <w:tcW w:w="1689" w:type="dxa"/>
            <w:vMerge w:val="restart"/>
            <w:shd w:val="clear" w:color="auto" w:fill="D9D9D9" w:themeFill="background1" w:themeFillShade="D9"/>
            <w:vAlign w:val="bottom"/>
            <w:hideMark/>
          </w:tcPr>
          <w:p w14:paraId="3C301428" w14:textId="5C103B97" w:rsidR="00B20CE3" w:rsidRPr="009472D5" w:rsidRDefault="00B20CE3" w:rsidP="009472D5">
            <w:pPr>
              <w:spacing w:after="0"/>
              <w:rPr>
                <w:rFonts w:ascii="Times New Roman" w:eastAsia="Times New Roman" w:hAnsi="Times New Roman" w:cs="Times New Roman"/>
                <w:sz w:val="18"/>
                <w:szCs w:val="18"/>
                <w:lang w:eastAsia="en-GB"/>
              </w:rPr>
            </w:pPr>
          </w:p>
          <w:p w14:paraId="1B821568" w14:textId="75CAF561" w:rsidR="00B20CE3" w:rsidRPr="009472D5" w:rsidRDefault="00B20CE3" w:rsidP="009472D5">
            <w:pPr>
              <w:spacing w:after="0"/>
              <w:rPr>
                <w:rFonts w:ascii="Times New Roman" w:eastAsia="Times New Roman" w:hAnsi="Times New Roman" w:cs="Times New Roman"/>
                <w:sz w:val="18"/>
                <w:szCs w:val="18"/>
                <w:lang w:eastAsia="en-GB"/>
              </w:rPr>
            </w:pPr>
          </w:p>
        </w:tc>
        <w:tc>
          <w:tcPr>
            <w:tcW w:w="3727" w:type="dxa"/>
            <w:gridSpan w:val="4"/>
            <w:shd w:val="clear" w:color="auto" w:fill="D9D9D9" w:themeFill="background1" w:themeFillShade="D9"/>
            <w:vAlign w:val="center"/>
            <w:hideMark/>
          </w:tcPr>
          <w:p w14:paraId="687BE635"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Total energy consumption (in-use+embedded) [TWh/year]</w:t>
            </w:r>
          </w:p>
        </w:tc>
        <w:tc>
          <w:tcPr>
            <w:tcW w:w="1574" w:type="dxa"/>
            <w:gridSpan w:val="2"/>
            <w:shd w:val="clear" w:color="auto" w:fill="D9D9D9" w:themeFill="background1" w:themeFillShade="D9"/>
            <w:vAlign w:val="center"/>
            <w:hideMark/>
          </w:tcPr>
          <w:p w14:paraId="743B7EA1"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Savings [TWh/year]</w:t>
            </w:r>
          </w:p>
        </w:tc>
        <w:tc>
          <w:tcPr>
            <w:tcW w:w="1913" w:type="dxa"/>
            <w:gridSpan w:val="2"/>
            <w:shd w:val="clear" w:color="auto" w:fill="D9D9D9" w:themeFill="background1" w:themeFillShade="D9"/>
            <w:vAlign w:val="center"/>
            <w:hideMark/>
          </w:tcPr>
          <w:p w14:paraId="2975DE9A" w14:textId="06348F2A"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Cumulative savings</w:t>
            </w:r>
          </w:p>
          <w:p w14:paraId="29E97404"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[TWh]</w:t>
            </w:r>
          </w:p>
        </w:tc>
      </w:tr>
      <w:tr w:rsidR="00BC605E" w:rsidRPr="009472D5" w14:paraId="6C1EC1AD" w14:textId="77777777" w:rsidTr="00914B14">
        <w:trPr>
          <w:jc w:val="center"/>
        </w:trPr>
        <w:tc>
          <w:tcPr>
            <w:tcW w:w="1689" w:type="dxa"/>
            <w:vMerge/>
            <w:shd w:val="clear" w:color="auto" w:fill="D9D9D9" w:themeFill="background1" w:themeFillShade="D9"/>
            <w:vAlign w:val="bottom"/>
            <w:hideMark/>
          </w:tcPr>
          <w:p w14:paraId="3BAC990D" w14:textId="77777777" w:rsidR="00B20CE3" w:rsidRPr="009472D5" w:rsidRDefault="00B20CE3" w:rsidP="009472D5">
            <w:pPr>
              <w:spacing w:after="0"/>
              <w:rPr>
                <w:rFonts w:ascii="Times New Roman" w:eastAsia="Times New Roman" w:hAnsi="Times New Roman" w:cs="Times New Roman"/>
                <w:b/>
                <w:bCs/>
                <w:sz w:val="18"/>
                <w:szCs w:val="18"/>
                <w:lang w:eastAsia="en-GB"/>
              </w:rPr>
            </w:pPr>
          </w:p>
        </w:tc>
        <w:tc>
          <w:tcPr>
            <w:tcW w:w="953" w:type="dxa"/>
            <w:shd w:val="clear" w:color="auto" w:fill="D9D9D9" w:themeFill="background1" w:themeFillShade="D9"/>
            <w:vAlign w:val="bottom"/>
            <w:hideMark/>
          </w:tcPr>
          <w:p w14:paraId="677850A0"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2020</w:t>
            </w:r>
          </w:p>
        </w:tc>
        <w:tc>
          <w:tcPr>
            <w:tcW w:w="842" w:type="dxa"/>
            <w:shd w:val="clear" w:color="auto" w:fill="D9D9D9" w:themeFill="background1" w:themeFillShade="D9"/>
            <w:vAlign w:val="bottom"/>
            <w:hideMark/>
          </w:tcPr>
          <w:p w14:paraId="0DBA0037"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2025</w:t>
            </w:r>
          </w:p>
        </w:tc>
        <w:tc>
          <w:tcPr>
            <w:tcW w:w="1015" w:type="dxa"/>
            <w:shd w:val="clear" w:color="auto" w:fill="D9D9D9" w:themeFill="background1" w:themeFillShade="D9"/>
            <w:vAlign w:val="bottom"/>
            <w:hideMark/>
          </w:tcPr>
          <w:p w14:paraId="33A6FBA6"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17" w:type="dxa"/>
            <w:shd w:val="clear" w:color="auto" w:fill="D9D9D9" w:themeFill="background1" w:themeFillShade="D9"/>
            <w:vAlign w:val="bottom"/>
            <w:hideMark/>
          </w:tcPr>
          <w:p w14:paraId="2810D597"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752" w:type="dxa"/>
            <w:shd w:val="clear" w:color="auto" w:fill="D9D9D9" w:themeFill="background1" w:themeFillShade="D9"/>
            <w:vAlign w:val="bottom"/>
            <w:hideMark/>
          </w:tcPr>
          <w:p w14:paraId="28DEC3DE"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822" w:type="dxa"/>
            <w:shd w:val="clear" w:color="auto" w:fill="D9D9D9" w:themeFill="background1" w:themeFillShade="D9"/>
            <w:vAlign w:val="bottom"/>
            <w:hideMark/>
          </w:tcPr>
          <w:p w14:paraId="050CF677"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943" w:type="dxa"/>
            <w:shd w:val="clear" w:color="auto" w:fill="D9D9D9" w:themeFill="background1" w:themeFillShade="D9"/>
            <w:vAlign w:val="bottom"/>
            <w:hideMark/>
          </w:tcPr>
          <w:p w14:paraId="5D57EC66"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70" w:type="dxa"/>
            <w:shd w:val="clear" w:color="auto" w:fill="D9D9D9" w:themeFill="background1" w:themeFillShade="D9"/>
            <w:vAlign w:val="bottom"/>
            <w:hideMark/>
          </w:tcPr>
          <w:p w14:paraId="1114F59A"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r>
      <w:tr w:rsidR="00BC605E" w:rsidRPr="009472D5" w14:paraId="24A46581" w14:textId="77777777" w:rsidTr="00914B14">
        <w:trPr>
          <w:jc w:val="center"/>
        </w:trPr>
        <w:tc>
          <w:tcPr>
            <w:tcW w:w="1689" w:type="dxa"/>
            <w:shd w:val="clear" w:color="auto" w:fill="auto"/>
            <w:vAlign w:val="center"/>
            <w:hideMark/>
          </w:tcPr>
          <w:p w14:paraId="72F8F48B" w14:textId="77777777" w:rsidR="00B20CE3" w:rsidRPr="009472D5" w:rsidRDefault="00B20CE3"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BAU</w:t>
            </w:r>
          </w:p>
        </w:tc>
        <w:tc>
          <w:tcPr>
            <w:tcW w:w="953" w:type="dxa"/>
            <w:shd w:val="clear" w:color="auto" w:fill="auto"/>
            <w:vAlign w:val="center"/>
            <w:hideMark/>
          </w:tcPr>
          <w:p w14:paraId="53CA6B83" w14:textId="22C93FC7"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12</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45</w:t>
            </w:r>
          </w:p>
        </w:tc>
        <w:tc>
          <w:tcPr>
            <w:tcW w:w="842" w:type="dxa"/>
            <w:shd w:val="clear" w:color="auto" w:fill="auto"/>
            <w:vAlign w:val="center"/>
            <w:hideMark/>
          </w:tcPr>
          <w:p w14:paraId="178B538A" w14:textId="15A00E29"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64</w:t>
            </w:r>
          </w:p>
        </w:tc>
        <w:tc>
          <w:tcPr>
            <w:tcW w:w="1015" w:type="dxa"/>
            <w:shd w:val="clear" w:color="auto" w:fill="auto"/>
            <w:vAlign w:val="center"/>
            <w:hideMark/>
          </w:tcPr>
          <w:p w14:paraId="57108B88" w14:textId="50C3BF81"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21</w:t>
            </w:r>
          </w:p>
        </w:tc>
        <w:tc>
          <w:tcPr>
            <w:tcW w:w="917" w:type="dxa"/>
            <w:shd w:val="clear" w:color="auto" w:fill="auto"/>
            <w:vAlign w:val="center"/>
            <w:hideMark/>
          </w:tcPr>
          <w:p w14:paraId="30C5B54D" w14:textId="2D90FED8"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45</w:t>
            </w:r>
          </w:p>
        </w:tc>
        <w:tc>
          <w:tcPr>
            <w:tcW w:w="752" w:type="dxa"/>
            <w:shd w:val="clear" w:color="auto" w:fill="auto"/>
            <w:vAlign w:val="center"/>
            <w:hideMark/>
          </w:tcPr>
          <w:p w14:paraId="2BC91D18" w14:textId="2964FABA"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822" w:type="dxa"/>
            <w:shd w:val="clear" w:color="auto" w:fill="auto"/>
            <w:vAlign w:val="center"/>
            <w:hideMark/>
          </w:tcPr>
          <w:p w14:paraId="5D6DFE8E" w14:textId="21F37B74"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943" w:type="dxa"/>
            <w:shd w:val="clear" w:color="auto" w:fill="auto"/>
            <w:vAlign w:val="center"/>
            <w:hideMark/>
          </w:tcPr>
          <w:p w14:paraId="5FCB6972" w14:textId="14D3C85E"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c>
          <w:tcPr>
            <w:tcW w:w="970" w:type="dxa"/>
            <w:shd w:val="clear" w:color="auto" w:fill="auto"/>
            <w:vAlign w:val="center"/>
            <w:hideMark/>
          </w:tcPr>
          <w:p w14:paraId="19992EC8" w14:textId="1BBA6C9B" w:rsidR="00B20CE3" w:rsidRPr="009472D5" w:rsidRDefault="00B20CE3" w:rsidP="009472D5">
            <w:pPr>
              <w:spacing w:after="0"/>
              <w:jc w:val="center"/>
              <w:rPr>
                <w:rFonts w:ascii="Times New Roman" w:eastAsia="Times New Roman" w:hAnsi="Times New Roman" w:cs="Times New Roman"/>
                <w:color w:val="000000"/>
                <w:sz w:val="18"/>
                <w:szCs w:val="18"/>
                <w:lang w:eastAsia="en-GB"/>
              </w:rPr>
            </w:pPr>
          </w:p>
        </w:tc>
      </w:tr>
      <w:tr w:rsidR="00BC605E" w:rsidRPr="009472D5" w14:paraId="636C760E" w14:textId="77777777" w:rsidTr="00914B14">
        <w:trPr>
          <w:jc w:val="center"/>
        </w:trPr>
        <w:tc>
          <w:tcPr>
            <w:tcW w:w="1689" w:type="dxa"/>
            <w:shd w:val="clear" w:color="auto" w:fill="auto"/>
            <w:vAlign w:val="center"/>
          </w:tcPr>
          <w:p w14:paraId="51D6DE34" w14:textId="41DD1DFC" w:rsidR="00B20CE3" w:rsidRPr="009472D5" w:rsidRDefault="00C06499"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PO4/</w:t>
            </w:r>
            <w:r w:rsidR="00B20CE3" w:rsidRPr="009472D5">
              <w:rPr>
                <w:rFonts w:ascii="Times New Roman" w:eastAsia="Times New Roman" w:hAnsi="Times New Roman" w:cs="Times New Roman"/>
                <w:b/>
                <w:bCs/>
                <w:sz w:val="18"/>
                <w:szCs w:val="18"/>
                <w:lang w:eastAsia="en-GB"/>
              </w:rPr>
              <w:t>PO4</w:t>
            </w:r>
            <w:r w:rsidRPr="009472D5">
              <w:rPr>
                <w:rFonts w:ascii="Times New Roman" w:eastAsia="Times New Roman" w:hAnsi="Times New Roman" w:cs="Times New Roman"/>
                <w:b/>
                <w:bCs/>
                <w:sz w:val="18"/>
                <w:szCs w:val="18"/>
                <w:lang w:eastAsia="en-GB"/>
              </w:rPr>
              <w:t>u</w:t>
            </w:r>
          </w:p>
        </w:tc>
        <w:tc>
          <w:tcPr>
            <w:tcW w:w="953" w:type="dxa"/>
            <w:shd w:val="clear" w:color="auto" w:fill="auto"/>
            <w:vAlign w:val="center"/>
          </w:tcPr>
          <w:p w14:paraId="3B1750A6" w14:textId="2F5B8E2B"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12</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45</w:t>
            </w:r>
          </w:p>
        </w:tc>
        <w:tc>
          <w:tcPr>
            <w:tcW w:w="842" w:type="dxa"/>
            <w:shd w:val="clear" w:color="auto" w:fill="auto"/>
            <w:vAlign w:val="center"/>
          </w:tcPr>
          <w:p w14:paraId="087DCF64" w14:textId="454A2DF5"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64</w:t>
            </w:r>
          </w:p>
        </w:tc>
        <w:tc>
          <w:tcPr>
            <w:tcW w:w="1015" w:type="dxa"/>
            <w:shd w:val="clear" w:color="auto" w:fill="auto"/>
            <w:vAlign w:val="center"/>
          </w:tcPr>
          <w:p w14:paraId="5D89F60F" w14:textId="056FD729"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21</w:t>
            </w:r>
          </w:p>
        </w:tc>
        <w:tc>
          <w:tcPr>
            <w:tcW w:w="917" w:type="dxa"/>
            <w:shd w:val="clear" w:color="auto" w:fill="auto"/>
            <w:vAlign w:val="center"/>
          </w:tcPr>
          <w:p w14:paraId="10B18946" w14:textId="7D367D9D"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9</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84</w:t>
            </w:r>
          </w:p>
        </w:tc>
        <w:tc>
          <w:tcPr>
            <w:tcW w:w="752" w:type="dxa"/>
            <w:shd w:val="clear" w:color="auto" w:fill="auto"/>
            <w:vAlign w:val="center"/>
          </w:tcPr>
          <w:p w14:paraId="05EC0485" w14:textId="31A2885B"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822" w:type="dxa"/>
            <w:shd w:val="clear" w:color="auto" w:fill="auto"/>
            <w:vAlign w:val="center"/>
          </w:tcPr>
          <w:p w14:paraId="4A761DBC" w14:textId="506386ED"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61</w:t>
            </w:r>
          </w:p>
        </w:tc>
        <w:tc>
          <w:tcPr>
            <w:tcW w:w="943" w:type="dxa"/>
            <w:shd w:val="clear" w:color="auto" w:fill="auto"/>
            <w:vAlign w:val="center"/>
          </w:tcPr>
          <w:p w14:paraId="305F90B6" w14:textId="59A96BB6"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970" w:type="dxa"/>
            <w:shd w:val="clear" w:color="auto" w:fill="auto"/>
            <w:vAlign w:val="center"/>
          </w:tcPr>
          <w:p w14:paraId="5D3F60AB" w14:textId="3DB5FF6A"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69</w:t>
            </w:r>
          </w:p>
        </w:tc>
      </w:tr>
      <w:tr w:rsidR="00BC605E" w:rsidRPr="009472D5" w14:paraId="3FBECE1B" w14:textId="77777777" w:rsidTr="00914B14">
        <w:trPr>
          <w:jc w:val="center"/>
        </w:trPr>
        <w:tc>
          <w:tcPr>
            <w:tcW w:w="1689" w:type="dxa"/>
            <w:shd w:val="clear" w:color="auto" w:fill="auto"/>
            <w:vAlign w:val="center"/>
            <w:hideMark/>
          </w:tcPr>
          <w:p w14:paraId="4FA6493B" w14:textId="7BF938F2" w:rsidR="00ED2806" w:rsidRPr="00011F9A" w:rsidRDefault="00ED2806" w:rsidP="009472D5">
            <w:pPr>
              <w:spacing w:after="0"/>
              <w:rPr>
                <w:rFonts w:ascii="Times New Roman" w:eastAsia="Times New Roman" w:hAnsi="Times New Roman" w:cs="Times New Roman"/>
                <w:b/>
                <w:bCs/>
                <w:sz w:val="18"/>
                <w:szCs w:val="18"/>
                <w:lang w:val="it-IT" w:eastAsia="en-GB"/>
              </w:rPr>
            </w:pPr>
            <w:r w:rsidRPr="00011F9A">
              <w:rPr>
                <w:rFonts w:ascii="Times New Roman" w:eastAsia="Times New Roman" w:hAnsi="Times New Roman" w:cs="Times New Roman"/>
                <w:b/>
                <w:bCs/>
                <w:sz w:val="18"/>
                <w:szCs w:val="18"/>
                <w:lang w:val="it-IT" w:eastAsia="en-GB"/>
              </w:rPr>
              <w:t>PO2+PO3+PO4u</w:t>
            </w:r>
            <w:r w:rsidR="00BC605E" w:rsidRPr="00011F9A">
              <w:rPr>
                <w:rFonts w:ascii="Times New Roman" w:eastAsia="Times New Roman" w:hAnsi="Times New Roman" w:cs="Times New Roman"/>
                <w:b/>
                <w:bCs/>
                <w:sz w:val="18"/>
                <w:szCs w:val="18"/>
                <w:lang w:val="it-IT" w:eastAsia="en-GB"/>
              </w:rPr>
              <w:t>/PO2+PO3+PO4</w:t>
            </w:r>
          </w:p>
        </w:tc>
        <w:tc>
          <w:tcPr>
            <w:tcW w:w="953" w:type="dxa"/>
            <w:shd w:val="clear" w:color="auto" w:fill="auto"/>
            <w:vAlign w:val="center"/>
            <w:hideMark/>
          </w:tcPr>
          <w:p w14:paraId="39542A23" w14:textId="05560753"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12</w:t>
            </w:r>
            <w:r w:rsidR="009472D5" w:rsidRP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45</w:t>
            </w:r>
          </w:p>
        </w:tc>
        <w:tc>
          <w:tcPr>
            <w:tcW w:w="842" w:type="dxa"/>
            <w:shd w:val="clear" w:color="auto" w:fill="auto"/>
            <w:vAlign w:val="center"/>
            <w:hideMark/>
          </w:tcPr>
          <w:p w14:paraId="6CE1420D" w14:textId="3780FC74"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57</w:t>
            </w:r>
          </w:p>
        </w:tc>
        <w:tc>
          <w:tcPr>
            <w:tcW w:w="1015" w:type="dxa"/>
            <w:shd w:val="clear" w:color="auto" w:fill="auto"/>
            <w:vAlign w:val="center"/>
            <w:hideMark/>
          </w:tcPr>
          <w:p w14:paraId="18AFD58D" w14:textId="7DE778F9"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58</w:t>
            </w:r>
          </w:p>
        </w:tc>
        <w:tc>
          <w:tcPr>
            <w:tcW w:w="917" w:type="dxa"/>
            <w:shd w:val="clear" w:color="auto" w:fill="auto"/>
            <w:vAlign w:val="center"/>
            <w:hideMark/>
          </w:tcPr>
          <w:p w14:paraId="2CA03A32" w14:textId="08A08734"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8</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72</w:t>
            </w:r>
          </w:p>
        </w:tc>
        <w:tc>
          <w:tcPr>
            <w:tcW w:w="752" w:type="dxa"/>
            <w:shd w:val="clear" w:color="auto" w:fill="auto"/>
            <w:vAlign w:val="center"/>
            <w:hideMark/>
          </w:tcPr>
          <w:p w14:paraId="19E55DF1" w14:textId="4E548A67"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64</w:t>
            </w:r>
          </w:p>
        </w:tc>
        <w:tc>
          <w:tcPr>
            <w:tcW w:w="822" w:type="dxa"/>
            <w:shd w:val="clear" w:color="auto" w:fill="auto"/>
            <w:vAlign w:val="center"/>
            <w:hideMark/>
          </w:tcPr>
          <w:p w14:paraId="0F51AEDC" w14:textId="4FA5676E"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73</w:t>
            </w:r>
          </w:p>
        </w:tc>
        <w:tc>
          <w:tcPr>
            <w:tcW w:w="943" w:type="dxa"/>
            <w:shd w:val="clear" w:color="auto" w:fill="auto"/>
            <w:vAlign w:val="center"/>
            <w:hideMark/>
          </w:tcPr>
          <w:p w14:paraId="4BADEC43" w14:textId="451DC0C8"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93</w:t>
            </w:r>
          </w:p>
        </w:tc>
        <w:tc>
          <w:tcPr>
            <w:tcW w:w="970" w:type="dxa"/>
            <w:shd w:val="clear" w:color="auto" w:fill="auto"/>
            <w:vAlign w:val="center"/>
            <w:hideMark/>
          </w:tcPr>
          <w:p w14:paraId="6A4DA4F9" w14:textId="4C669650" w:rsidR="00ED2806" w:rsidRPr="009472D5" w:rsidRDefault="00ED2806" w:rsidP="009472D5">
            <w:pPr>
              <w:spacing w:after="0"/>
              <w:jc w:val="center"/>
              <w:rPr>
                <w:rFonts w:ascii="Times New Roman" w:eastAsia="Times New Roman" w:hAnsi="Times New Roman" w:cs="Times New Roman"/>
                <w:color w:val="000000"/>
                <w:sz w:val="18"/>
                <w:szCs w:val="18"/>
                <w:lang w:eastAsia="en-GB"/>
              </w:rPr>
            </w:pPr>
            <w:r w:rsidRPr="009472D5">
              <w:rPr>
                <w:rFonts w:ascii="Times New Roman" w:hAnsi="Times New Roman" w:cs="Times New Roman"/>
                <w:color w:val="000000"/>
                <w:sz w:val="18"/>
                <w:szCs w:val="18"/>
              </w:rPr>
              <w:t>15</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01</w:t>
            </w:r>
          </w:p>
        </w:tc>
      </w:tr>
      <w:tr w:rsidR="00ED2806" w:rsidRPr="009472D5" w14:paraId="0B383D31" w14:textId="77777777" w:rsidTr="00914B14">
        <w:trPr>
          <w:jc w:val="center"/>
        </w:trPr>
        <w:tc>
          <w:tcPr>
            <w:tcW w:w="1689" w:type="dxa"/>
            <w:shd w:val="clear" w:color="auto" w:fill="D9D9D9" w:themeFill="background1" w:themeFillShade="D9"/>
            <w:vAlign w:val="bottom"/>
            <w:hideMark/>
          </w:tcPr>
          <w:p w14:paraId="36436465" w14:textId="59E54176" w:rsidR="00B20CE3" w:rsidRPr="009472D5" w:rsidRDefault="00B20CE3" w:rsidP="009472D5">
            <w:pPr>
              <w:spacing w:after="0"/>
              <w:rPr>
                <w:rFonts w:ascii="Times New Roman" w:eastAsia="Times New Roman" w:hAnsi="Times New Roman" w:cs="Times New Roman"/>
                <w:b/>
                <w:sz w:val="18"/>
                <w:szCs w:val="18"/>
                <w:lang w:eastAsia="en-GB"/>
              </w:rPr>
            </w:pPr>
          </w:p>
        </w:tc>
        <w:tc>
          <w:tcPr>
            <w:tcW w:w="3727" w:type="dxa"/>
            <w:gridSpan w:val="4"/>
            <w:shd w:val="clear" w:color="auto" w:fill="D9D9D9" w:themeFill="background1" w:themeFillShade="D9"/>
            <w:vAlign w:val="center"/>
            <w:hideMark/>
          </w:tcPr>
          <w:p w14:paraId="526F3E66"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GHG emission, in-use + embedded [mtCO2e/year]</w:t>
            </w:r>
          </w:p>
        </w:tc>
        <w:tc>
          <w:tcPr>
            <w:tcW w:w="1574" w:type="dxa"/>
            <w:gridSpan w:val="2"/>
            <w:shd w:val="clear" w:color="auto" w:fill="D9D9D9" w:themeFill="background1" w:themeFillShade="D9"/>
            <w:vAlign w:val="center"/>
            <w:hideMark/>
          </w:tcPr>
          <w:p w14:paraId="10B9A261"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Savings [mtCO2e/year]</w:t>
            </w:r>
          </w:p>
        </w:tc>
        <w:tc>
          <w:tcPr>
            <w:tcW w:w="1913" w:type="dxa"/>
            <w:gridSpan w:val="2"/>
            <w:shd w:val="clear" w:color="auto" w:fill="D9D9D9" w:themeFill="background1" w:themeFillShade="D9"/>
            <w:vAlign w:val="center"/>
            <w:hideMark/>
          </w:tcPr>
          <w:p w14:paraId="3C97161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Cumulative [mtCO2e]</w:t>
            </w:r>
          </w:p>
        </w:tc>
      </w:tr>
      <w:tr w:rsidR="00BC605E" w:rsidRPr="009472D5" w14:paraId="54E6B643" w14:textId="77777777" w:rsidTr="00914B14">
        <w:trPr>
          <w:jc w:val="center"/>
        </w:trPr>
        <w:tc>
          <w:tcPr>
            <w:tcW w:w="1689" w:type="dxa"/>
            <w:shd w:val="clear" w:color="auto" w:fill="D9D9D9" w:themeFill="background1" w:themeFillShade="D9"/>
            <w:vAlign w:val="bottom"/>
            <w:hideMark/>
          </w:tcPr>
          <w:p w14:paraId="07902E70" w14:textId="4B0D2CD3" w:rsidR="00B20CE3" w:rsidRPr="009472D5" w:rsidRDefault="00B20CE3" w:rsidP="009472D5">
            <w:pPr>
              <w:spacing w:after="0"/>
              <w:rPr>
                <w:rFonts w:ascii="Times New Roman" w:eastAsia="Times New Roman" w:hAnsi="Times New Roman" w:cs="Times New Roman"/>
                <w:b/>
                <w:bCs/>
                <w:sz w:val="18"/>
                <w:szCs w:val="18"/>
                <w:lang w:eastAsia="en-GB"/>
              </w:rPr>
            </w:pPr>
          </w:p>
        </w:tc>
        <w:tc>
          <w:tcPr>
            <w:tcW w:w="953" w:type="dxa"/>
            <w:shd w:val="clear" w:color="auto" w:fill="D9D9D9" w:themeFill="background1" w:themeFillShade="D9"/>
            <w:vAlign w:val="bottom"/>
            <w:hideMark/>
          </w:tcPr>
          <w:p w14:paraId="4152238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2020</w:t>
            </w:r>
          </w:p>
        </w:tc>
        <w:tc>
          <w:tcPr>
            <w:tcW w:w="842" w:type="dxa"/>
            <w:shd w:val="clear" w:color="auto" w:fill="D9D9D9" w:themeFill="background1" w:themeFillShade="D9"/>
            <w:vAlign w:val="bottom"/>
            <w:hideMark/>
          </w:tcPr>
          <w:p w14:paraId="072AC027"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2025</w:t>
            </w:r>
          </w:p>
        </w:tc>
        <w:tc>
          <w:tcPr>
            <w:tcW w:w="1015" w:type="dxa"/>
            <w:shd w:val="clear" w:color="auto" w:fill="D9D9D9" w:themeFill="background1" w:themeFillShade="D9"/>
            <w:vAlign w:val="bottom"/>
            <w:hideMark/>
          </w:tcPr>
          <w:p w14:paraId="0E1A492D"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17" w:type="dxa"/>
            <w:shd w:val="clear" w:color="auto" w:fill="D9D9D9" w:themeFill="background1" w:themeFillShade="D9"/>
            <w:vAlign w:val="bottom"/>
            <w:hideMark/>
          </w:tcPr>
          <w:p w14:paraId="2175EEE2"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752" w:type="dxa"/>
            <w:shd w:val="clear" w:color="auto" w:fill="D9D9D9" w:themeFill="background1" w:themeFillShade="D9"/>
            <w:vAlign w:val="bottom"/>
            <w:hideMark/>
          </w:tcPr>
          <w:p w14:paraId="445A1C08"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822" w:type="dxa"/>
            <w:shd w:val="clear" w:color="auto" w:fill="D9D9D9" w:themeFill="background1" w:themeFillShade="D9"/>
            <w:vAlign w:val="bottom"/>
            <w:hideMark/>
          </w:tcPr>
          <w:p w14:paraId="4FF24721"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c>
          <w:tcPr>
            <w:tcW w:w="943" w:type="dxa"/>
            <w:shd w:val="clear" w:color="auto" w:fill="D9D9D9" w:themeFill="background1" w:themeFillShade="D9"/>
            <w:vAlign w:val="bottom"/>
            <w:hideMark/>
          </w:tcPr>
          <w:p w14:paraId="1C9FB03B"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2030</w:t>
            </w:r>
          </w:p>
        </w:tc>
        <w:tc>
          <w:tcPr>
            <w:tcW w:w="970" w:type="dxa"/>
            <w:shd w:val="clear" w:color="auto" w:fill="D9D9D9" w:themeFill="background1" w:themeFillShade="D9"/>
            <w:vAlign w:val="bottom"/>
            <w:hideMark/>
          </w:tcPr>
          <w:p w14:paraId="353888D9" w14:textId="77777777"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2040</w:t>
            </w:r>
          </w:p>
        </w:tc>
      </w:tr>
      <w:tr w:rsidR="00BC605E" w:rsidRPr="009472D5" w14:paraId="0D5950EF" w14:textId="77777777" w:rsidTr="009472D5">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B027B" w14:textId="77777777" w:rsidR="00B20CE3" w:rsidRPr="009472D5" w:rsidRDefault="00B20CE3"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BAU</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EFDE" w14:textId="4D98B648"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62</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0E08E" w14:textId="0A72AA09"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07</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3774F" w14:textId="3B20E774"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hAnsi="Times New Roman" w:cs="Times New Roman"/>
                <w:color w:val="000000"/>
                <w:sz w:val="18"/>
                <w:szCs w:val="18"/>
              </w:rPr>
              <w:t>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4F5BB" w14:textId="08A09D23" w:rsidR="00B20CE3" w:rsidRPr="009472D5" w:rsidRDefault="00B20CE3" w:rsidP="009472D5">
            <w:pPr>
              <w:spacing w:after="0"/>
              <w:jc w:val="center"/>
              <w:rPr>
                <w:rFonts w:ascii="Times New Roman" w:eastAsia="Times New Roman" w:hAnsi="Times New Roman" w:cs="Times New Roman"/>
                <w:b/>
                <w:bCs/>
                <w:sz w:val="18"/>
                <w:szCs w:val="18"/>
                <w:lang w:eastAsia="en-GB"/>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95</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3CD37" w14:textId="537D7624" w:rsidR="00B20CE3" w:rsidRPr="009472D5" w:rsidRDefault="00B20CE3" w:rsidP="009472D5">
            <w:pPr>
              <w:spacing w:after="0"/>
              <w:jc w:val="center"/>
              <w:rPr>
                <w:rFonts w:ascii="Times New Roman" w:eastAsia="Times New Roman" w:hAnsi="Times New Roman" w:cs="Times New Roman"/>
                <w:b/>
                <w:bCs/>
                <w:sz w:val="18"/>
                <w:szCs w:val="18"/>
                <w:lang w:eastAsia="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49F5B" w14:textId="0F2A149A" w:rsidR="00B20CE3" w:rsidRPr="009472D5" w:rsidRDefault="00B20CE3" w:rsidP="009472D5">
            <w:pPr>
              <w:spacing w:after="0"/>
              <w:jc w:val="center"/>
              <w:rPr>
                <w:rFonts w:ascii="Times New Roman" w:eastAsia="Times New Roman" w:hAnsi="Times New Roman" w:cs="Times New Roman"/>
                <w:b/>
                <w:bCs/>
                <w:sz w:val="18"/>
                <w:szCs w:val="18"/>
                <w:lang w:eastAsia="en-GB"/>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2240F3" w14:textId="0E408007" w:rsidR="00B20CE3" w:rsidRPr="009472D5" w:rsidRDefault="00B20CE3" w:rsidP="009472D5">
            <w:pPr>
              <w:spacing w:after="0"/>
              <w:jc w:val="center"/>
              <w:rPr>
                <w:rFonts w:ascii="Times New Roman" w:eastAsia="Times New Roman" w:hAnsi="Times New Roman" w:cs="Times New Roman"/>
                <w:b/>
                <w:bCs/>
                <w:sz w:val="18"/>
                <w:szCs w:val="18"/>
                <w:lang w:eastAsia="en-GB"/>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2226A6A" w14:textId="48CD7CFB" w:rsidR="00B20CE3" w:rsidRPr="009472D5" w:rsidRDefault="00B20CE3" w:rsidP="009472D5">
            <w:pPr>
              <w:spacing w:after="0"/>
              <w:jc w:val="center"/>
              <w:rPr>
                <w:rFonts w:ascii="Times New Roman" w:eastAsia="Times New Roman" w:hAnsi="Times New Roman" w:cs="Times New Roman"/>
                <w:b/>
                <w:bCs/>
                <w:sz w:val="18"/>
                <w:szCs w:val="18"/>
                <w:lang w:eastAsia="en-GB"/>
              </w:rPr>
            </w:pPr>
          </w:p>
        </w:tc>
      </w:tr>
      <w:tr w:rsidR="00BC605E" w:rsidRPr="009472D5" w14:paraId="2A0291DE" w14:textId="77777777" w:rsidTr="00914B1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14:paraId="36828DEF" w14:textId="21E85389" w:rsidR="00B20CE3" w:rsidRPr="009472D5" w:rsidRDefault="00C06499"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PO4/</w:t>
            </w:r>
            <w:r w:rsidR="00B20CE3" w:rsidRPr="009472D5">
              <w:rPr>
                <w:rFonts w:ascii="Times New Roman" w:eastAsia="Times New Roman" w:hAnsi="Times New Roman" w:cs="Times New Roman"/>
                <w:b/>
                <w:bCs/>
                <w:sz w:val="18"/>
                <w:szCs w:val="18"/>
                <w:lang w:eastAsia="en-GB"/>
              </w:rPr>
              <w:t>PO4</w:t>
            </w:r>
            <w:r w:rsidRPr="009472D5">
              <w:rPr>
                <w:rFonts w:ascii="Times New Roman" w:eastAsia="Times New Roman" w:hAnsi="Times New Roman" w:cs="Times New Roman"/>
                <w:b/>
                <w:bCs/>
                <w:sz w:val="18"/>
                <w:szCs w:val="18"/>
                <w:lang w:eastAsia="en-GB"/>
              </w:rPr>
              <w:t>u</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498BCAA3" w14:textId="6D792031"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62</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2E9ADA1" w14:textId="1730BF88"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07</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9B6A7DF" w14:textId="7F1D01B6"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F52DA32" w14:textId="189A6C30"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59</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0889953F" w14:textId="6F583159"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12F46A3" w14:textId="3FAEA190"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36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B5B043" w14:textId="4BB04EF5"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00</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E37B409" w14:textId="1974ADA8" w:rsidR="00B20CE3" w:rsidRPr="009472D5" w:rsidRDefault="00B20CE3"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54</w:t>
            </w:r>
          </w:p>
        </w:tc>
      </w:tr>
      <w:tr w:rsidR="00BC605E" w:rsidRPr="009472D5" w14:paraId="5B9F4C1A" w14:textId="77777777" w:rsidTr="00914B1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14:paraId="0FFD9AFD" w14:textId="41EB1770" w:rsidR="000611EB" w:rsidRPr="009472D5" w:rsidRDefault="000611EB" w:rsidP="009472D5">
            <w:pPr>
              <w:spacing w:after="0"/>
              <w:rPr>
                <w:rFonts w:ascii="Times New Roman" w:eastAsia="Times New Roman" w:hAnsi="Times New Roman" w:cs="Times New Roman"/>
                <w:b/>
                <w:bCs/>
                <w:sz w:val="18"/>
                <w:szCs w:val="18"/>
                <w:lang w:eastAsia="en-GB"/>
              </w:rPr>
            </w:pPr>
            <w:r w:rsidRPr="009472D5">
              <w:rPr>
                <w:rFonts w:ascii="Times New Roman" w:eastAsia="Times New Roman" w:hAnsi="Times New Roman" w:cs="Times New Roman"/>
                <w:b/>
                <w:bCs/>
                <w:sz w:val="18"/>
                <w:szCs w:val="18"/>
                <w:lang w:eastAsia="en-GB"/>
              </w:rPr>
              <w:t>PO2+PO3+PO4</w:t>
            </w:r>
            <w:r w:rsidR="0092724B" w:rsidRPr="009472D5">
              <w:rPr>
                <w:rFonts w:ascii="Times New Roman" w:eastAsia="Times New Roman" w:hAnsi="Times New Roman" w:cs="Times New Roman"/>
                <w:b/>
                <w:bCs/>
                <w:sz w:val="18"/>
                <w:szCs w:val="18"/>
                <w:lang w:eastAsia="en-GB"/>
              </w:rPr>
              <w:t>u</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0F2FA1D2" w14:textId="326707B9"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62</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315FBAD3" w14:textId="57018E52"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3</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09</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408EF9B5" w14:textId="675CACA8"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2</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80E726A" w14:textId="50BD2ED2"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52</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6D48284B" w14:textId="723E6365"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01</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43EB2A5" w14:textId="1F2425DE"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43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4581EE8" w14:textId="225509D7"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-0</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27</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3A6A89C" w14:textId="4BBC5349" w:rsidR="000611EB" w:rsidRPr="009472D5" w:rsidRDefault="000611EB" w:rsidP="009472D5">
            <w:pPr>
              <w:spacing w:after="0"/>
              <w:jc w:val="center"/>
              <w:rPr>
                <w:rFonts w:ascii="Times New Roman" w:hAnsi="Times New Roman" w:cs="Times New Roman"/>
                <w:color w:val="000000"/>
                <w:sz w:val="18"/>
                <w:szCs w:val="18"/>
              </w:rPr>
            </w:pPr>
            <w:r w:rsidRPr="009472D5">
              <w:rPr>
                <w:rFonts w:ascii="Times New Roman" w:hAnsi="Times New Roman" w:cs="Times New Roman"/>
                <w:color w:val="000000"/>
                <w:sz w:val="18"/>
                <w:szCs w:val="18"/>
              </w:rPr>
              <w:t>1</w:t>
            </w:r>
            <w:r w:rsidR="009472D5">
              <w:rPr>
                <w:rFonts w:ascii="Times New Roman" w:hAnsi="Times New Roman" w:cs="Times New Roman"/>
                <w:color w:val="000000"/>
                <w:sz w:val="18"/>
                <w:szCs w:val="18"/>
              </w:rPr>
              <w:t>.</w:t>
            </w:r>
            <w:r w:rsidRPr="009472D5">
              <w:rPr>
                <w:rFonts w:ascii="Times New Roman" w:hAnsi="Times New Roman" w:cs="Times New Roman"/>
                <w:color w:val="000000"/>
                <w:sz w:val="18"/>
                <w:szCs w:val="18"/>
              </w:rPr>
              <w:t>75</w:t>
            </w:r>
          </w:p>
        </w:tc>
      </w:tr>
    </w:tbl>
    <w:p w14:paraId="68BA54E8" w14:textId="39871440" w:rsidR="00B20CE3" w:rsidRPr="00011F9A" w:rsidRDefault="00C06499" w:rsidP="00493169">
      <w:pPr>
        <w:jc w:val="both"/>
        <w:rPr>
          <w:rFonts w:ascii="Times New Roman" w:hAnsi="Times New Roman" w:cs="Times New Roman"/>
          <w:sz w:val="24"/>
          <w:szCs w:val="24"/>
          <w:lang w:val="it-IT"/>
        </w:rPr>
      </w:pPr>
      <w:r w:rsidRPr="00011F9A">
        <w:rPr>
          <w:rFonts w:ascii="Times New Roman" w:hAnsi="Times New Roman" w:cs="Times New Roman"/>
          <w:i/>
          <w:sz w:val="20"/>
          <w:szCs w:val="20"/>
          <w:lang w:val="it-IT"/>
        </w:rPr>
        <w:t xml:space="preserve">Table </w:t>
      </w:r>
      <w:r w:rsidR="00BE4C97" w:rsidRPr="00011F9A">
        <w:rPr>
          <w:rFonts w:ascii="Times New Roman" w:hAnsi="Times New Roman" w:cs="Times New Roman"/>
          <w:i/>
          <w:sz w:val="20"/>
          <w:szCs w:val="20"/>
          <w:lang w:val="it-IT"/>
        </w:rPr>
        <w:t>9</w:t>
      </w:r>
      <w:r w:rsidRPr="00011F9A">
        <w:rPr>
          <w:rFonts w:ascii="Times New Roman" w:hAnsi="Times New Roman" w:cs="Times New Roman"/>
          <w:i/>
          <w:sz w:val="20"/>
          <w:szCs w:val="20"/>
          <w:lang w:val="it-IT"/>
        </w:rPr>
        <w:t xml:space="preserve">. </w:t>
      </w:r>
      <w:r w:rsidR="00486ADF" w:rsidRPr="00011F9A">
        <w:rPr>
          <w:rFonts w:ascii="Times New Roman" w:hAnsi="Times New Roman" w:cs="Times New Roman"/>
          <w:i/>
          <w:sz w:val="20"/>
          <w:szCs w:val="20"/>
          <w:lang w:val="it-IT"/>
        </w:rPr>
        <w:t>EU e</w:t>
      </w:r>
      <w:r w:rsidRPr="00011F9A">
        <w:rPr>
          <w:rFonts w:ascii="Times New Roman" w:hAnsi="Times New Roman" w:cs="Times New Roman"/>
          <w:i/>
          <w:sz w:val="20"/>
          <w:szCs w:val="20"/>
          <w:lang w:val="it-IT"/>
        </w:rPr>
        <w:t xml:space="preserve">nvironmental impacts for </w:t>
      </w:r>
      <w:r w:rsidR="00CC7E23" w:rsidRPr="00011F9A">
        <w:rPr>
          <w:rFonts w:ascii="Times New Roman" w:hAnsi="Times New Roman" w:cs="Times New Roman"/>
          <w:i/>
          <w:sz w:val="20"/>
          <w:szCs w:val="20"/>
          <w:lang w:val="it-IT"/>
        </w:rPr>
        <w:t xml:space="preserve">BAU, </w:t>
      </w:r>
      <w:r w:rsidR="007B207E" w:rsidRPr="00011F9A">
        <w:rPr>
          <w:rFonts w:ascii="Times New Roman" w:hAnsi="Times New Roman" w:cs="Times New Roman"/>
          <w:i/>
          <w:sz w:val="20"/>
          <w:szCs w:val="20"/>
          <w:lang w:val="it-IT"/>
        </w:rPr>
        <w:t>PO2+PO3+PO4</w:t>
      </w:r>
      <w:r w:rsidRPr="00011F9A">
        <w:rPr>
          <w:rFonts w:ascii="Times New Roman" w:hAnsi="Times New Roman" w:cs="Times New Roman"/>
          <w:i/>
          <w:sz w:val="20"/>
          <w:szCs w:val="20"/>
          <w:lang w:val="it-IT"/>
        </w:rPr>
        <w:t xml:space="preserve"> and </w:t>
      </w:r>
      <w:r w:rsidR="00CC7E23" w:rsidRPr="00011F9A">
        <w:rPr>
          <w:rFonts w:ascii="Times New Roman" w:hAnsi="Times New Roman" w:cs="Times New Roman"/>
          <w:i/>
          <w:sz w:val="20"/>
          <w:szCs w:val="20"/>
          <w:lang w:val="it-IT"/>
        </w:rPr>
        <w:t>PO2+PO3+PO4u</w:t>
      </w:r>
    </w:p>
    <w:p w14:paraId="1296239A" w14:textId="3D4FFBAF" w:rsidR="000F4F9A" w:rsidRPr="007679D5" w:rsidRDefault="007679D5" w:rsidP="007679D5">
      <w:pPr>
        <w:jc w:val="both"/>
        <w:rPr>
          <w:rFonts w:ascii="Times New Roman" w:hAnsi="Times New Roman" w:cs="Times New Roman"/>
          <w:sz w:val="24"/>
          <w:szCs w:val="24"/>
        </w:rPr>
      </w:pPr>
      <w:r w:rsidRPr="007679D5">
        <w:rPr>
          <w:rFonts w:ascii="Times New Roman" w:hAnsi="Times New Roman" w:cs="Times New Roman"/>
          <w:sz w:val="24"/>
          <w:szCs w:val="24"/>
        </w:rPr>
        <w:t xml:space="preserve">Until 2031, the decrease in energy consumption </w:t>
      </w:r>
      <w:r w:rsidR="000626A4">
        <w:rPr>
          <w:rFonts w:ascii="Times New Roman" w:hAnsi="Times New Roman" w:cs="Times New Roman"/>
          <w:sz w:val="24"/>
          <w:szCs w:val="24"/>
        </w:rPr>
        <w:t>is only due to PO2 and PO3, since</w:t>
      </w:r>
      <w:r w:rsidRPr="007679D5">
        <w:rPr>
          <w:rFonts w:ascii="Times New Roman" w:hAnsi="Times New Roman" w:cs="Times New Roman"/>
          <w:sz w:val="24"/>
          <w:szCs w:val="24"/>
        </w:rPr>
        <w:t xml:space="preserve"> the benefits from PO4 are only realised in the long term. From 2032 onwards, </w:t>
      </w:r>
      <w:r w:rsidR="00011F9A">
        <w:rPr>
          <w:rFonts w:ascii="Times New Roman" w:hAnsi="Times New Roman" w:cs="Times New Roman"/>
          <w:sz w:val="24"/>
          <w:szCs w:val="24"/>
        </w:rPr>
        <w:t xml:space="preserve">the effects from </w:t>
      </w:r>
      <w:r w:rsidR="000626A4">
        <w:rPr>
          <w:rFonts w:ascii="Times New Roman" w:hAnsi="Times New Roman" w:cs="Times New Roman"/>
          <w:sz w:val="24"/>
          <w:szCs w:val="24"/>
        </w:rPr>
        <w:t xml:space="preserve">PO4u </w:t>
      </w:r>
      <w:r w:rsidRPr="007679D5">
        <w:rPr>
          <w:rFonts w:ascii="Times New Roman" w:hAnsi="Times New Roman" w:cs="Times New Roman"/>
          <w:sz w:val="24"/>
          <w:szCs w:val="24"/>
        </w:rPr>
        <w:t>start</w:t>
      </w:r>
      <w:r w:rsidR="00011F9A">
        <w:rPr>
          <w:rFonts w:ascii="Times New Roman" w:hAnsi="Times New Roman" w:cs="Times New Roman"/>
          <w:sz w:val="24"/>
          <w:szCs w:val="24"/>
        </w:rPr>
        <w:t xml:space="preserve"> to be noticed</w:t>
      </w:r>
      <w:r w:rsidRPr="007679D5">
        <w:rPr>
          <w:rFonts w:ascii="Times New Roman" w:hAnsi="Times New Roman" w:cs="Times New Roman"/>
          <w:sz w:val="24"/>
          <w:szCs w:val="24"/>
        </w:rPr>
        <w:t xml:space="preserve"> as described in section 6.3.1</w:t>
      </w:r>
      <w:r w:rsidR="00BE4C97">
        <w:rPr>
          <w:rFonts w:ascii="Times New Roman" w:hAnsi="Times New Roman" w:cs="Times New Roman"/>
          <w:sz w:val="24"/>
          <w:szCs w:val="24"/>
        </w:rPr>
        <w:t xml:space="preserve"> of the 2022 IA</w:t>
      </w:r>
      <w:r w:rsidR="00CC7E23">
        <w:rPr>
          <w:rFonts w:ascii="Times New Roman" w:hAnsi="Times New Roman" w:cs="Times New Roman"/>
          <w:sz w:val="24"/>
          <w:szCs w:val="24"/>
        </w:rPr>
        <w:t>.</w:t>
      </w:r>
    </w:p>
    <w:p w14:paraId="3F5C7810" w14:textId="3229C4D5" w:rsidR="000F4F9A" w:rsidRDefault="000F4F9A" w:rsidP="00362B0A">
      <w:pPr>
        <w:pStyle w:val="Heading3"/>
      </w:pPr>
      <w:r>
        <w:t>Economic impacts</w:t>
      </w:r>
    </w:p>
    <w:p w14:paraId="3532CB6B" w14:textId="325D17C8" w:rsidR="00A32139" w:rsidRDefault="000F4F9A" w:rsidP="00A32139">
      <w:pPr>
        <w:jc w:val="both"/>
        <w:rPr>
          <w:rFonts w:ascii="Times New Roman" w:hAnsi="Times New Roman" w:cs="Times New Roman"/>
          <w:sz w:val="24"/>
          <w:szCs w:val="24"/>
        </w:rPr>
      </w:pPr>
      <w:r>
        <w:rPr>
          <w:rFonts w:ascii="Times New Roman" w:hAnsi="Times New Roman" w:cs="Times New Roman"/>
          <w:sz w:val="24"/>
          <w:szCs w:val="24"/>
        </w:rPr>
        <w:t>T</w:t>
      </w:r>
      <w:r w:rsidR="00A32139">
        <w:rPr>
          <w:rFonts w:ascii="Times New Roman" w:hAnsi="Times New Roman" w:cs="Times New Roman"/>
          <w:sz w:val="24"/>
          <w:szCs w:val="24"/>
        </w:rPr>
        <w:t>he wider scope of PO4</w:t>
      </w:r>
      <w:r w:rsidR="00A04B46">
        <w:rPr>
          <w:rFonts w:ascii="Times New Roman" w:hAnsi="Times New Roman" w:cs="Times New Roman"/>
          <w:sz w:val="24"/>
          <w:szCs w:val="24"/>
        </w:rPr>
        <w:t>u</w:t>
      </w:r>
      <w:r w:rsidR="00A32139">
        <w:rPr>
          <w:rFonts w:ascii="Times New Roman" w:hAnsi="Times New Roman" w:cs="Times New Roman"/>
          <w:sz w:val="24"/>
          <w:szCs w:val="24"/>
        </w:rPr>
        <w:t xml:space="preserve"> </w:t>
      </w:r>
      <w:r>
        <w:rPr>
          <w:rFonts w:ascii="Times New Roman" w:hAnsi="Times New Roman" w:cs="Times New Roman"/>
          <w:sz w:val="24"/>
          <w:szCs w:val="24"/>
        </w:rPr>
        <w:t>increases</w:t>
      </w:r>
      <w:r w:rsidR="00A32139">
        <w:rPr>
          <w:rFonts w:ascii="Times New Roman" w:hAnsi="Times New Roman" w:cs="Times New Roman"/>
          <w:sz w:val="24"/>
          <w:szCs w:val="24"/>
        </w:rPr>
        <w:t xml:space="preserve"> compliance costs, due to </w:t>
      </w:r>
      <w:r w:rsidR="00BE4C97">
        <w:rPr>
          <w:rFonts w:ascii="Times New Roman" w:hAnsi="Times New Roman" w:cs="Times New Roman"/>
          <w:sz w:val="24"/>
          <w:szCs w:val="24"/>
        </w:rPr>
        <w:t xml:space="preserve">the following </w:t>
      </w:r>
      <w:r w:rsidR="00A32139">
        <w:rPr>
          <w:rFonts w:ascii="Times New Roman" w:hAnsi="Times New Roman" w:cs="Times New Roman"/>
          <w:sz w:val="24"/>
          <w:szCs w:val="24"/>
        </w:rPr>
        <w:t xml:space="preserve">two factors: </w:t>
      </w:r>
    </w:p>
    <w:p w14:paraId="78B2A54E" w14:textId="1A9BD0D4" w:rsidR="00A32139" w:rsidRDefault="00A32139" w:rsidP="00A32139">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F</w:t>
      </w:r>
      <w:r w:rsidRPr="005B0C4F">
        <w:rPr>
          <w:rFonts w:ascii="Times New Roman" w:hAnsi="Times New Roman" w:cs="Times New Roman"/>
          <w:sz w:val="24"/>
          <w:szCs w:val="24"/>
        </w:rPr>
        <w:t xml:space="preserve">irst, the redesign </w:t>
      </w:r>
      <w:r>
        <w:rPr>
          <w:rFonts w:ascii="Times New Roman" w:hAnsi="Times New Roman" w:cs="Times New Roman"/>
          <w:sz w:val="24"/>
          <w:szCs w:val="24"/>
        </w:rPr>
        <w:t xml:space="preserve">of </w:t>
      </w:r>
      <w:r w:rsidR="00E51E46">
        <w:rPr>
          <w:rFonts w:ascii="Times New Roman" w:hAnsi="Times New Roman" w:cs="Times New Roman"/>
          <w:sz w:val="24"/>
          <w:szCs w:val="24"/>
        </w:rPr>
        <w:t>some models</w:t>
      </w:r>
      <w:r>
        <w:rPr>
          <w:rFonts w:ascii="Times New Roman" w:hAnsi="Times New Roman" w:cs="Times New Roman"/>
          <w:sz w:val="24"/>
          <w:szCs w:val="24"/>
        </w:rPr>
        <w:t xml:space="preserve"> </w:t>
      </w:r>
      <w:r w:rsidR="00E51E46">
        <w:rPr>
          <w:rFonts w:ascii="Times New Roman" w:hAnsi="Times New Roman" w:cs="Times New Roman"/>
          <w:sz w:val="24"/>
          <w:szCs w:val="24"/>
        </w:rPr>
        <w:t xml:space="preserve">where manufacturers choose to do so </w:t>
      </w:r>
      <w:r>
        <w:rPr>
          <w:rFonts w:ascii="Times New Roman" w:hAnsi="Times New Roman" w:cs="Times New Roman"/>
          <w:sz w:val="24"/>
          <w:szCs w:val="24"/>
        </w:rPr>
        <w:t>in</w:t>
      </w:r>
      <w:r w:rsidRPr="005B0C4F">
        <w:rPr>
          <w:rFonts w:ascii="Times New Roman" w:hAnsi="Times New Roman" w:cs="Times New Roman"/>
          <w:sz w:val="24"/>
          <w:szCs w:val="24"/>
        </w:rPr>
        <w:t xml:space="preserve"> trying to get the highest </w:t>
      </w:r>
      <w:r>
        <w:rPr>
          <w:rFonts w:ascii="Times New Roman" w:hAnsi="Times New Roman" w:cs="Times New Roman"/>
          <w:sz w:val="24"/>
          <w:szCs w:val="24"/>
        </w:rPr>
        <w:t xml:space="preserve">repairability </w:t>
      </w:r>
      <w:r w:rsidRPr="005B0C4F">
        <w:rPr>
          <w:rFonts w:ascii="Times New Roman" w:hAnsi="Times New Roman" w:cs="Times New Roman"/>
          <w:sz w:val="24"/>
          <w:szCs w:val="24"/>
        </w:rPr>
        <w:t>score. The</w:t>
      </w:r>
      <w:r w:rsidR="00E51E46">
        <w:rPr>
          <w:rFonts w:ascii="Times New Roman" w:hAnsi="Times New Roman" w:cs="Times New Roman"/>
          <w:sz w:val="24"/>
          <w:szCs w:val="24"/>
        </w:rPr>
        <w:t xml:space="preserve"> average</w:t>
      </w:r>
      <w:r w:rsidRPr="005B0C4F">
        <w:rPr>
          <w:rFonts w:ascii="Times New Roman" w:hAnsi="Times New Roman" w:cs="Times New Roman"/>
          <w:sz w:val="24"/>
          <w:szCs w:val="24"/>
        </w:rPr>
        <w:t xml:space="preserve"> cost of redesigning the product is assumed </w:t>
      </w:r>
      <w:r w:rsidR="00802D65">
        <w:rPr>
          <w:rFonts w:ascii="Times New Roman" w:hAnsi="Times New Roman" w:cs="Times New Roman"/>
          <w:sz w:val="24"/>
          <w:szCs w:val="24"/>
        </w:rPr>
        <w:t xml:space="preserve">here </w:t>
      </w:r>
      <w:r w:rsidRPr="005B0C4F">
        <w:rPr>
          <w:rFonts w:ascii="Times New Roman" w:hAnsi="Times New Roman" w:cs="Times New Roman"/>
          <w:sz w:val="24"/>
          <w:szCs w:val="24"/>
        </w:rPr>
        <w:t>to be equivalent to the</w:t>
      </w:r>
      <w:r>
        <w:rPr>
          <w:rFonts w:ascii="Times New Roman" w:hAnsi="Times New Roman" w:cs="Times New Roman"/>
          <w:sz w:val="24"/>
          <w:szCs w:val="24"/>
        </w:rPr>
        <w:t xml:space="preserve"> increase of</w:t>
      </w:r>
      <w:r w:rsidRPr="005B0C4F">
        <w:rPr>
          <w:rFonts w:ascii="Times New Roman" w:hAnsi="Times New Roman" w:cs="Times New Roman"/>
          <w:sz w:val="24"/>
          <w:szCs w:val="24"/>
        </w:rPr>
        <w:t xml:space="preserve"> cost calculated in the 2022 IA for PO2</w:t>
      </w:r>
      <w:r w:rsidR="00287C9B">
        <w:rPr>
          <w:rFonts w:ascii="Times New Roman" w:hAnsi="Times New Roman" w:cs="Times New Roman"/>
          <w:sz w:val="24"/>
          <w:szCs w:val="24"/>
        </w:rPr>
        <w:t xml:space="preserve">, this is </w:t>
      </w:r>
      <w:r>
        <w:rPr>
          <w:rFonts w:ascii="Times New Roman" w:hAnsi="Times New Roman" w:cs="Times New Roman"/>
          <w:sz w:val="24"/>
          <w:szCs w:val="24"/>
        </w:rPr>
        <w:t xml:space="preserve">the policy </w:t>
      </w:r>
      <w:r>
        <w:rPr>
          <w:rFonts w:ascii="Times New Roman" w:hAnsi="Times New Roman" w:cs="Times New Roman"/>
          <w:sz w:val="24"/>
          <w:szCs w:val="24"/>
        </w:rPr>
        <w:lastRenderedPageBreak/>
        <w:t xml:space="preserve">option including only energy labelling measures. </w:t>
      </w:r>
      <w:r w:rsidR="00802D65">
        <w:rPr>
          <w:rFonts w:ascii="Times New Roman" w:hAnsi="Times New Roman" w:cs="Times New Roman"/>
          <w:sz w:val="24"/>
          <w:szCs w:val="24"/>
        </w:rPr>
        <w:t xml:space="preserve">Compliance costs in PO2 in the </w:t>
      </w:r>
      <w:r>
        <w:rPr>
          <w:rFonts w:ascii="Times New Roman" w:hAnsi="Times New Roman" w:cs="Times New Roman"/>
          <w:sz w:val="24"/>
          <w:szCs w:val="24"/>
        </w:rPr>
        <w:t xml:space="preserve">2022 IA </w:t>
      </w:r>
      <w:r w:rsidR="00802D65">
        <w:rPr>
          <w:rFonts w:ascii="Times New Roman" w:hAnsi="Times New Roman" w:cs="Times New Roman"/>
          <w:sz w:val="24"/>
          <w:szCs w:val="24"/>
        </w:rPr>
        <w:t>factored in</w:t>
      </w:r>
      <w:r>
        <w:rPr>
          <w:rFonts w:ascii="Times New Roman" w:hAnsi="Times New Roman" w:cs="Times New Roman"/>
          <w:sz w:val="24"/>
          <w:szCs w:val="24"/>
        </w:rPr>
        <w:t xml:space="preserve"> a </w:t>
      </w:r>
      <w:r w:rsidR="00407F0D">
        <w:rPr>
          <w:rFonts w:ascii="Times New Roman" w:hAnsi="Times New Roman" w:cs="Times New Roman"/>
          <w:sz w:val="24"/>
          <w:szCs w:val="24"/>
        </w:rPr>
        <w:t>1%</w:t>
      </w:r>
      <w:r>
        <w:rPr>
          <w:rFonts w:ascii="Times New Roman" w:hAnsi="Times New Roman" w:cs="Times New Roman"/>
          <w:sz w:val="24"/>
          <w:szCs w:val="24"/>
        </w:rPr>
        <w:t xml:space="preserve"> increase of </w:t>
      </w:r>
      <w:r w:rsidR="00407F0D">
        <w:rPr>
          <w:rFonts w:ascii="Times New Roman" w:hAnsi="Times New Roman" w:cs="Times New Roman"/>
          <w:sz w:val="24"/>
          <w:szCs w:val="24"/>
        </w:rPr>
        <w:t xml:space="preserve">production </w:t>
      </w:r>
      <w:r>
        <w:rPr>
          <w:rFonts w:ascii="Times New Roman" w:hAnsi="Times New Roman" w:cs="Times New Roman"/>
          <w:sz w:val="24"/>
          <w:szCs w:val="24"/>
        </w:rPr>
        <w:t xml:space="preserve">costs due to manufacturers’ </w:t>
      </w:r>
      <w:r w:rsidR="00802D65">
        <w:rPr>
          <w:rFonts w:ascii="Times New Roman" w:hAnsi="Times New Roman" w:cs="Times New Roman"/>
          <w:sz w:val="24"/>
          <w:szCs w:val="24"/>
        </w:rPr>
        <w:t xml:space="preserve">investment </w:t>
      </w:r>
      <w:r>
        <w:rPr>
          <w:rFonts w:ascii="Times New Roman" w:hAnsi="Times New Roman" w:cs="Times New Roman"/>
          <w:sz w:val="24"/>
          <w:szCs w:val="24"/>
        </w:rPr>
        <w:t xml:space="preserve">to attain better energy efficiency classes. </w:t>
      </w:r>
      <w:r w:rsidR="00802D65">
        <w:rPr>
          <w:rFonts w:ascii="Times New Roman" w:hAnsi="Times New Roman" w:cs="Times New Roman"/>
          <w:sz w:val="24"/>
          <w:szCs w:val="24"/>
        </w:rPr>
        <w:t>T</w:t>
      </w:r>
      <w:r>
        <w:rPr>
          <w:rFonts w:ascii="Times New Roman" w:hAnsi="Times New Roman" w:cs="Times New Roman"/>
          <w:sz w:val="24"/>
          <w:szCs w:val="24"/>
        </w:rPr>
        <w:t xml:space="preserve">he </w:t>
      </w:r>
      <w:r w:rsidR="003E5C56">
        <w:rPr>
          <w:rFonts w:ascii="Times New Roman" w:hAnsi="Times New Roman" w:cs="Times New Roman"/>
          <w:sz w:val="24"/>
          <w:szCs w:val="24"/>
        </w:rPr>
        <w:t xml:space="preserve">introduction of a </w:t>
      </w:r>
      <w:r w:rsidR="00A65759">
        <w:rPr>
          <w:rFonts w:ascii="Times New Roman" w:hAnsi="Times New Roman" w:cs="Times New Roman"/>
          <w:sz w:val="24"/>
          <w:szCs w:val="24"/>
        </w:rPr>
        <w:t>repairability</w:t>
      </w:r>
      <w:r>
        <w:rPr>
          <w:rFonts w:ascii="Times New Roman" w:hAnsi="Times New Roman" w:cs="Times New Roman"/>
          <w:sz w:val="24"/>
          <w:szCs w:val="24"/>
        </w:rPr>
        <w:t xml:space="preserve"> scale </w:t>
      </w:r>
      <w:r w:rsidR="003E5C56">
        <w:rPr>
          <w:rFonts w:ascii="Times New Roman" w:hAnsi="Times New Roman" w:cs="Times New Roman"/>
          <w:sz w:val="24"/>
          <w:szCs w:val="24"/>
        </w:rPr>
        <w:t xml:space="preserve">in the label </w:t>
      </w:r>
      <w:r>
        <w:rPr>
          <w:rFonts w:ascii="Times New Roman" w:hAnsi="Times New Roman" w:cs="Times New Roman"/>
          <w:sz w:val="24"/>
          <w:szCs w:val="24"/>
        </w:rPr>
        <w:t xml:space="preserve">is </w:t>
      </w:r>
      <w:r w:rsidR="003E5C56">
        <w:rPr>
          <w:rFonts w:ascii="Times New Roman" w:hAnsi="Times New Roman" w:cs="Times New Roman"/>
          <w:sz w:val="24"/>
          <w:szCs w:val="24"/>
        </w:rPr>
        <w:t xml:space="preserve">assumed </w:t>
      </w:r>
      <w:r>
        <w:rPr>
          <w:rFonts w:ascii="Times New Roman" w:hAnsi="Times New Roman" w:cs="Times New Roman"/>
          <w:sz w:val="24"/>
          <w:szCs w:val="24"/>
        </w:rPr>
        <w:t>to trigger an equivalent effect with a similar increase of compliance costs</w:t>
      </w:r>
      <w:r w:rsidRPr="005B0C4F">
        <w:rPr>
          <w:rFonts w:ascii="Times New Roman" w:hAnsi="Times New Roman" w:cs="Times New Roman"/>
          <w:sz w:val="24"/>
          <w:szCs w:val="24"/>
        </w:rPr>
        <w:t>.</w:t>
      </w:r>
      <w:r>
        <w:rPr>
          <w:rFonts w:ascii="Times New Roman" w:hAnsi="Times New Roman" w:cs="Times New Roman"/>
          <w:sz w:val="24"/>
          <w:szCs w:val="24"/>
        </w:rPr>
        <w:t xml:space="preserve"> </w:t>
      </w:r>
    </w:p>
    <w:p w14:paraId="787C8E94" w14:textId="307C4293" w:rsidR="00A32139" w:rsidRDefault="00A32139" w:rsidP="00A32139">
      <w:pPr>
        <w:pStyle w:val="ListParagraph"/>
        <w:numPr>
          <w:ilvl w:val="0"/>
          <w:numId w:val="3"/>
        </w:numPr>
        <w:jc w:val="both"/>
        <w:rPr>
          <w:rFonts w:ascii="Times New Roman" w:hAnsi="Times New Roman" w:cs="Times New Roman"/>
          <w:sz w:val="24"/>
          <w:szCs w:val="24"/>
        </w:rPr>
      </w:pPr>
      <w:r w:rsidRPr="000B04DD">
        <w:rPr>
          <w:rFonts w:ascii="Times New Roman" w:hAnsi="Times New Roman" w:cs="Times New Roman"/>
          <w:sz w:val="24"/>
          <w:szCs w:val="24"/>
        </w:rPr>
        <w:t xml:space="preserve">Second, </w:t>
      </w:r>
      <w:r w:rsidRPr="000B04DD">
        <w:rPr>
          <w:rFonts w:ascii="Times New Roman" w:eastAsia="Times New Roman" w:hAnsi="Times New Roman" w:cs="Times New Roman"/>
          <w:sz w:val="24"/>
          <w:szCs w:val="24"/>
          <w:lang w:eastAsia="en-GB"/>
        </w:rPr>
        <w:t xml:space="preserve">there </w:t>
      </w:r>
      <w:r w:rsidR="00CE4F36">
        <w:rPr>
          <w:rFonts w:ascii="Times New Roman" w:eastAsia="Times New Roman" w:hAnsi="Times New Roman" w:cs="Times New Roman"/>
          <w:sz w:val="24"/>
          <w:szCs w:val="24"/>
          <w:lang w:eastAsia="en-GB"/>
        </w:rPr>
        <w:t>may</w:t>
      </w:r>
      <w:r w:rsidRPr="000B04DD">
        <w:rPr>
          <w:rFonts w:ascii="Times New Roman" w:eastAsia="Times New Roman" w:hAnsi="Times New Roman" w:cs="Times New Roman"/>
          <w:sz w:val="24"/>
          <w:szCs w:val="24"/>
          <w:lang w:eastAsia="en-GB"/>
        </w:rPr>
        <w:t xml:space="preserve"> be administrative costs due to relabelling, as </w:t>
      </w:r>
      <w:r w:rsidRPr="000B04DD">
        <w:rPr>
          <w:rFonts w:ascii="Times New Roman" w:hAnsi="Times New Roman" w:cs="Times New Roman"/>
          <w:sz w:val="24"/>
          <w:szCs w:val="24"/>
        </w:rPr>
        <w:t xml:space="preserve">suppliers will have to provide two labels instead of one for a period of </w:t>
      </w:r>
      <w:r w:rsidR="0074365A">
        <w:rPr>
          <w:rFonts w:ascii="Times New Roman" w:hAnsi="Times New Roman" w:cs="Times New Roman"/>
          <w:sz w:val="24"/>
          <w:szCs w:val="24"/>
        </w:rPr>
        <w:t>4</w:t>
      </w:r>
      <w:r w:rsidRPr="000B04DD">
        <w:rPr>
          <w:rFonts w:ascii="Times New Roman" w:hAnsi="Times New Roman" w:cs="Times New Roman"/>
          <w:sz w:val="24"/>
          <w:szCs w:val="24"/>
        </w:rPr>
        <w:t xml:space="preserve"> months</w:t>
      </w:r>
      <w:r>
        <w:rPr>
          <w:rFonts w:ascii="Times New Roman" w:hAnsi="Times New Roman" w:cs="Times New Roman"/>
          <w:sz w:val="24"/>
          <w:szCs w:val="24"/>
        </w:rPr>
        <w:t>. These costs have been calculated in the 2022 IA and estimated</w:t>
      </w:r>
      <w:r w:rsidRPr="000B04DD">
        <w:rPr>
          <w:rFonts w:ascii="Times New Roman" w:hAnsi="Times New Roman" w:cs="Times New Roman"/>
          <w:sz w:val="24"/>
          <w:szCs w:val="24"/>
        </w:rPr>
        <w:t xml:space="preserve"> at 0</w:t>
      </w:r>
      <w:r w:rsidR="00CC7E23">
        <w:rPr>
          <w:rFonts w:ascii="Times New Roman" w:hAnsi="Times New Roman" w:cs="Times New Roman"/>
          <w:sz w:val="24"/>
          <w:szCs w:val="24"/>
        </w:rPr>
        <w:t>.</w:t>
      </w:r>
      <w:r w:rsidRPr="000B04DD">
        <w:rPr>
          <w:rFonts w:ascii="Times New Roman" w:hAnsi="Times New Roman" w:cs="Times New Roman"/>
          <w:sz w:val="24"/>
          <w:szCs w:val="24"/>
        </w:rPr>
        <w:t xml:space="preserve">3 EUR to print a label. For </w:t>
      </w:r>
      <w:r w:rsidR="0074365A">
        <w:rPr>
          <w:rFonts w:ascii="Times New Roman" w:hAnsi="Times New Roman" w:cs="Times New Roman"/>
          <w:sz w:val="24"/>
          <w:szCs w:val="24"/>
        </w:rPr>
        <w:t>1</w:t>
      </w:r>
      <w:r w:rsidR="00CC7E23">
        <w:rPr>
          <w:rFonts w:ascii="Times New Roman" w:hAnsi="Times New Roman" w:cs="Times New Roman"/>
          <w:sz w:val="24"/>
          <w:szCs w:val="24"/>
        </w:rPr>
        <w:t>.</w:t>
      </w:r>
      <w:r w:rsidR="0074365A">
        <w:rPr>
          <w:rFonts w:ascii="Times New Roman" w:hAnsi="Times New Roman" w:cs="Times New Roman"/>
          <w:sz w:val="24"/>
          <w:szCs w:val="24"/>
        </w:rPr>
        <w:t>9</w:t>
      </w:r>
      <w:r w:rsidRPr="000B04DD">
        <w:rPr>
          <w:rFonts w:ascii="Times New Roman" w:hAnsi="Times New Roman" w:cs="Times New Roman"/>
          <w:sz w:val="24"/>
          <w:szCs w:val="24"/>
        </w:rPr>
        <w:t xml:space="preserve"> million household tumble dryers sold in </w:t>
      </w:r>
      <w:r w:rsidR="0074365A">
        <w:rPr>
          <w:rFonts w:ascii="Times New Roman" w:hAnsi="Times New Roman" w:cs="Times New Roman"/>
          <w:sz w:val="24"/>
          <w:szCs w:val="24"/>
        </w:rPr>
        <w:t>4</w:t>
      </w:r>
      <w:r w:rsidRPr="000B04DD">
        <w:rPr>
          <w:rFonts w:ascii="Times New Roman" w:hAnsi="Times New Roman" w:cs="Times New Roman"/>
          <w:sz w:val="24"/>
          <w:szCs w:val="24"/>
        </w:rPr>
        <w:t xml:space="preserve"> months, this means a total cost of approximately </w:t>
      </w:r>
      <w:r w:rsidR="0074365A">
        <w:rPr>
          <w:rFonts w:ascii="Times New Roman" w:hAnsi="Times New Roman" w:cs="Times New Roman"/>
          <w:sz w:val="24"/>
          <w:szCs w:val="24"/>
        </w:rPr>
        <w:t>567</w:t>
      </w:r>
      <w:r w:rsidR="00CC7E23">
        <w:rPr>
          <w:rFonts w:ascii="Times New Roman" w:hAnsi="Times New Roman" w:cs="Times New Roman"/>
          <w:sz w:val="24"/>
          <w:szCs w:val="24"/>
        </w:rPr>
        <w:t>,</w:t>
      </w:r>
      <w:r w:rsidR="0074365A">
        <w:rPr>
          <w:rFonts w:ascii="Times New Roman" w:hAnsi="Times New Roman" w:cs="Times New Roman"/>
          <w:sz w:val="24"/>
          <w:szCs w:val="24"/>
        </w:rPr>
        <w:t>00</w:t>
      </w:r>
      <w:r w:rsidRPr="000B04DD">
        <w:rPr>
          <w:rFonts w:ascii="Times New Roman" w:hAnsi="Times New Roman" w:cs="Times New Roman"/>
          <w:sz w:val="24"/>
          <w:szCs w:val="24"/>
        </w:rPr>
        <w:t>0 € for suppliers to temporarily provide a second label for a transition of one label to another. The</w:t>
      </w:r>
      <w:r>
        <w:rPr>
          <w:rFonts w:ascii="Times New Roman" w:hAnsi="Times New Roman" w:cs="Times New Roman"/>
          <w:sz w:val="24"/>
          <w:szCs w:val="24"/>
        </w:rPr>
        <w:t>y are</w:t>
      </w:r>
      <w:r w:rsidRPr="000B04DD">
        <w:rPr>
          <w:rFonts w:ascii="Times New Roman" w:hAnsi="Times New Roman" w:cs="Times New Roman"/>
          <w:sz w:val="24"/>
          <w:szCs w:val="24"/>
        </w:rPr>
        <w:t xml:space="preserve"> one-off costs representing around 0.0</w:t>
      </w:r>
      <w:r w:rsidR="0074365A">
        <w:rPr>
          <w:rFonts w:ascii="Times New Roman" w:hAnsi="Times New Roman" w:cs="Times New Roman"/>
          <w:sz w:val="24"/>
          <w:szCs w:val="24"/>
        </w:rPr>
        <w:t>3</w:t>
      </w:r>
      <w:r w:rsidRPr="000B04DD">
        <w:rPr>
          <w:rFonts w:ascii="Times New Roman" w:hAnsi="Times New Roman" w:cs="Times New Roman"/>
          <w:sz w:val="24"/>
          <w:szCs w:val="24"/>
        </w:rPr>
        <w:t>% of turnover in the year that they occur</w:t>
      </w:r>
      <w:r w:rsidR="00D018A5">
        <w:rPr>
          <w:rFonts w:ascii="Times New Roman" w:hAnsi="Times New Roman" w:cs="Times New Roman"/>
          <w:sz w:val="24"/>
          <w:szCs w:val="24"/>
        </w:rPr>
        <w:t>, namely 2026</w:t>
      </w:r>
      <w:r w:rsidRPr="000B04DD">
        <w:rPr>
          <w:rFonts w:ascii="Times New Roman" w:hAnsi="Times New Roman" w:cs="Times New Roman"/>
          <w:sz w:val="24"/>
          <w:szCs w:val="24"/>
        </w:rPr>
        <w:t xml:space="preserve">. </w:t>
      </w:r>
    </w:p>
    <w:p w14:paraId="3D9E3EAE" w14:textId="209B4562" w:rsidR="004B3F61" w:rsidRDefault="004B3F61" w:rsidP="004C6C91">
      <w:pPr>
        <w:jc w:val="both"/>
        <w:rPr>
          <w:rFonts w:ascii="Times New Roman" w:hAnsi="Times New Roman" w:cs="Times New Roman"/>
          <w:sz w:val="24"/>
          <w:szCs w:val="24"/>
        </w:rPr>
      </w:pPr>
      <w:r>
        <w:rPr>
          <w:rFonts w:ascii="Times New Roman" w:hAnsi="Times New Roman" w:cs="Times New Roman"/>
          <w:sz w:val="24"/>
          <w:szCs w:val="24"/>
        </w:rPr>
        <w:t xml:space="preserve">Since costs are assumed to be entirely carried over to the consumer, the </w:t>
      </w:r>
      <w:r w:rsidR="00BE4C97">
        <w:rPr>
          <w:rFonts w:ascii="Times New Roman" w:hAnsi="Times New Roman" w:cs="Times New Roman"/>
          <w:sz w:val="24"/>
          <w:szCs w:val="24"/>
        </w:rPr>
        <w:t>modest</w:t>
      </w:r>
      <w:r>
        <w:rPr>
          <w:rFonts w:ascii="Times New Roman" w:hAnsi="Times New Roman" w:cs="Times New Roman"/>
          <w:sz w:val="24"/>
          <w:szCs w:val="24"/>
        </w:rPr>
        <w:t xml:space="preserve"> increase in costs due to PO4u will produce an equivalent increase of the sector’s turnover. </w:t>
      </w:r>
    </w:p>
    <w:p w14:paraId="30BC9D25" w14:textId="4ED8462B" w:rsidR="004B3F61" w:rsidRDefault="004B3F61" w:rsidP="004B3F61">
      <w:pPr>
        <w:jc w:val="both"/>
        <w:rPr>
          <w:rFonts w:ascii="Times New Roman" w:hAnsi="Times New Roman" w:cs="Times New Roman"/>
          <w:sz w:val="24"/>
          <w:szCs w:val="24"/>
        </w:rPr>
      </w:pPr>
      <w:r>
        <w:rPr>
          <w:rFonts w:ascii="Times New Roman" w:hAnsi="Times New Roman" w:cs="Times New Roman"/>
          <w:sz w:val="24"/>
          <w:szCs w:val="24"/>
        </w:rPr>
        <w:t xml:space="preserve">The economic impacts of PO4u and PO2+PO3+PO4u are displayed in Table </w:t>
      </w:r>
      <w:r w:rsidR="00BE4C97">
        <w:rPr>
          <w:rFonts w:ascii="Times New Roman" w:hAnsi="Times New Roman" w:cs="Times New Roman"/>
          <w:sz w:val="24"/>
          <w:szCs w:val="24"/>
        </w:rPr>
        <w:t>10</w:t>
      </w:r>
      <w:r>
        <w:rPr>
          <w:rFonts w:ascii="Times New Roman" w:hAnsi="Times New Roman" w:cs="Times New Roman"/>
          <w:sz w:val="24"/>
          <w:szCs w:val="24"/>
        </w:rPr>
        <w:t xml:space="preserve">. These can be compared with the impacts of PO2+PO3+PO4 as calculated in the 2022 IA.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080"/>
        <w:gridCol w:w="41"/>
        <w:gridCol w:w="1024"/>
        <w:gridCol w:w="26"/>
        <w:gridCol w:w="1134"/>
        <w:gridCol w:w="13"/>
        <w:gridCol w:w="980"/>
        <w:gridCol w:w="882"/>
        <w:gridCol w:w="15"/>
        <w:gridCol w:w="897"/>
        <w:gridCol w:w="963"/>
        <w:gridCol w:w="17"/>
        <w:gridCol w:w="1064"/>
      </w:tblGrid>
      <w:tr w:rsidR="007B207E" w:rsidRPr="00051ED5" w14:paraId="4A6A254B" w14:textId="77777777" w:rsidTr="00914B14">
        <w:trPr>
          <w:jc w:val="center"/>
        </w:trPr>
        <w:tc>
          <w:tcPr>
            <w:tcW w:w="1594" w:type="dxa"/>
            <w:vMerge w:val="restart"/>
            <w:shd w:val="clear" w:color="auto" w:fill="D9D9D9" w:themeFill="background1" w:themeFillShade="D9"/>
            <w:vAlign w:val="bottom"/>
            <w:hideMark/>
          </w:tcPr>
          <w:p w14:paraId="236E08C4" w14:textId="77777777" w:rsidR="007B207E" w:rsidRPr="007B207E" w:rsidRDefault="007B207E" w:rsidP="00105AC9">
            <w:pPr>
              <w:spacing w:after="0"/>
              <w:jc w:val="center"/>
              <w:rPr>
                <w:rFonts w:ascii="Times New Roman" w:eastAsia="Times New Roman" w:hAnsi="Times New Roman" w:cs="Times New Roman"/>
                <w:sz w:val="18"/>
                <w:szCs w:val="18"/>
                <w:lang w:eastAsia="en-GB"/>
              </w:rPr>
            </w:pPr>
          </w:p>
        </w:tc>
        <w:tc>
          <w:tcPr>
            <w:tcW w:w="4298" w:type="dxa"/>
            <w:gridSpan w:val="7"/>
            <w:shd w:val="clear" w:color="auto" w:fill="D9D9D9" w:themeFill="background1" w:themeFillShade="D9"/>
            <w:vAlign w:val="center"/>
            <w:hideMark/>
          </w:tcPr>
          <w:p w14:paraId="4F530817"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Industry turnover [bln. €/year]</w:t>
            </w:r>
          </w:p>
        </w:tc>
        <w:tc>
          <w:tcPr>
            <w:tcW w:w="1794" w:type="dxa"/>
            <w:gridSpan w:val="3"/>
            <w:shd w:val="clear" w:color="auto" w:fill="D9D9D9" w:themeFill="background1" w:themeFillShade="D9"/>
            <w:vAlign w:val="center"/>
            <w:hideMark/>
          </w:tcPr>
          <w:p w14:paraId="3F6A3FBC"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Difference to BAU [bln. €/year]</w:t>
            </w:r>
          </w:p>
        </w:tc>
        <w:tc>
          <w:tcPr>
            <w:tcW w:w="2044" w:type="dxa"/>
            <w:gridSpan w:val="3"/>
            <w:shd w:val="clear" w:color="auto" w:fill="D9D9D9" w:themeFill="background1" w:themeFillShade="D9"/>
            <w:vAlign w:val="center"/>
            <w:hideMark/>
          </w:tcPr>
          <w:p w14:paraId="6A1BDFEB"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Cumulative difference [bln. €]</w:t>
            </w:r>
          </w:p>
        </w:tc>
      </w:tr>
      <w:tr w:rsidR="007B207E" w:rsidRPr="009E2EEF" w14:paraId="17201C8A" w14:textId="77777777" w:rsidTr="00914B14">
        <w:trPr>
          <w:jc w:val="center"/>
        </w:trPr>
        <w:tc>
          <w:tcPr>
            <w:tcW w:w="1594" w:type="dxa"/>
            <w:vMerge/>
            <w:shd w:val="clear" w:color="auto" w:fill="D9D9D9" w:themeFill="background1" w:themeFillShade="D9"/>
            <w:vAlign w:val="bottom"/>
            <w:hideMark/>
          </w:tcPr>
          <w:p w14:paraId="65258FCD"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p>
        </w:tc>
        <w:tc>
          <w:tcPr>
            <w:tcW w:w="1080" w:type="dxa"/>
            <w:shd w:val="clear" w:color="auto" w:fill="D9D9D9" w:themeFill="background1" w:themeFillShade="D9"/>
            <w:vAlign w:val="bottom"/>
            <w:hideMark/>
          </w:tcPr>
          <w:p w14:paraId="6D0A9857"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2020</w:t>
            </w:r>
          </w:p>
        </w:tc>
        <w:tc>
          <w:tcPr>
            <w:tcW w:w="1065" w:type="dxa"/>
            <w:gridSpan w:val="2"/>
            <w:shd w:val="clear" w:color="auto" w:fill="D9D9D9" w:themeFill="background1" w:themeFillShade="D9"/>
            <w:vAlign w:val="bottom"/>
            <w:hideMark/>
          </w:tcPr>
          <w:p w14:paraId="4A833EE3"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2025</w:t>
            </w:r>
          </w:p>
        </w:tc>
        <w:tc>
          <w:tcPr>
            <w:tcW w:w="1160" w:type="dxa"/>
            <w:gridSpan w:val="2"/>
            <w:shd w:val="clear" w:color="auto" w:fill="D9D9D9" w:themeFill="background1" w:themeFillShade="D9"/>
            <w:vAlign w:val="bottom"/>
            <w:hideMark/>
          </w:tcPr>
          <w:p w14:paraId="281058EB"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993" w:type="dxa"/>
            <w:gridSpan w:val="2"/>
            <w:shd w:val="clear" w:color="auto" w:fill="D9D9D9" w:themeFill="background1" w:themeFillShade="D9"/>
            <w:vAlign w:val="bottom"/>
            <w:hideMark/>
          </w:tcPr>
          <w:p w14:paraId="162FE9AB"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c>
          <w:tcPr>
            <w:tcW w:w="882" w:type="dxa"/>
            <w:shd w:val="clear" w:color="auto" w:fill="D9D9D9" w:themeFill="background1" w:themeFillShade="D9"/>
            <w:vAlign w:val="bottom"/>
            <w:hideMark/>
          </w:tcPr>
          <w:p w14:paraId="472404BC"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912" w:type="dxa"/>
            <w:gridSpan w:val="2"/>
            <w:shd w:val="clear" w:color="auto" w:fill="D9D9D9" w:themeFill="background1" w:themeFillShade="D9"/>
            <w:vAlign w:val="bottom"/>
            <w:hideMark/>
          </w:tcPr>
          <w:p w14:paraId="4BD6824D"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c>
          <w:tcPr>
            <w:tcW w:w="963" w:type="dxa"/>
            <w:shd w:val="clear" w:color="auto" w:fill="D9D9D9" w:themeFill="background1" w:themeFillShade="D9"/>
            <w:vAlign w:val="bottom"/>
            <w:hideMark/>
          </w:tcPr>
          <w:p w14:paraId="7F51B449"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1081" w:type="dxa"/>
            <w:gridSpan w:val="2"/>
            <w:shd w:val="clear" w:color="auto" w:fill="D9D9D9" w:themeFill="background1" w:themeFillShade="D9"/>
            <w:vAlign w:val="bottom"/>
            <w:hideMark/>
          </w:tcPr>
          <w:p w14:paraId="7C7E5F6F"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r>
      <w:tr w:rsidR="007B207E" w:rsidRPr="009E2EEF" w14:paraId="7004BF50" w14:textId="77777777" w:rsidTr="00914B14">
        <w:trPr>
          <w:jc w:val="center"/>
        </w:trPr>
        <w:tc>
          <w:tcPr>
            <w:tcW w:w="1594" w:type="dxa"/>
            <w:shd w:val="clear" w:color="auto" w:fill="auto"/>
            <w:vAlign w:val="center"/>
            <w:hideMark/>
          </w:tcPr>
          <w:p w14:paraId="45F38D4F" w14:textId="77777777" w:rsidR="007B207E" w:rsidRPr="00036BBC" w:rsidRDefault="007B207E" w:rsidP="00105AC9">
            <w:pPr>
              <w:spacing w:after="0"/>
              <w:rPr>
                <w:rFonts w:ascii="Times New Roman" w:eastAsia="Times New Roman" w:hAnsi="Times New Roman" w:cs="Times New Roman"/>
                <w:b/>
                <w:bCs/>
                <w:sz w:val="18"/>
                <w:szCs w:val="18"/>
                <w:lang w:eastAsia="en-GB"/>
              </w:rPr>
            </w:pPr>
            <w:r w:rsidRPr="00036BBC">
              <w:rPr>
                <w:rFonts w:ascii="Times New Roman" w:hAnsi="Times New Roman" w:cs="Times New Roman"/>
                <w:b/>
                <w:bCs/>
                <w:sz w:val="18"/>
                <w:szCs w:val="18"/>
              </w:rPr>
              <w:t>BAU</w:t>
            </w:r>
          </w:p>
        </w:tc>
        <w:tc>
          <w:tcPr>
            <w:tcW w:w="1080" w:type="dxa"/>
            <w:shd w:val="clear" w:color="auto" w:fill="auto"/>
            <w:vAlign w:val="center"/>
            <w:hideMark/>
          </w:tcPr>
          <w:p w14:paraId="2B80EBDD" w14:textId="2ADAD716"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27</w:t>
            </w:r>
          </w:p>
        </w:tc>
        <w:tc>
          <w:tcPr>
            <w:tcW w:w="1065" w:type="dxa"/>
            <w:gridSpan w:val="2"/>
            <w:shd w:val="clear" w:color="auto" w:fill="auto"/>
            <w:vAlign w:val="center"/>
            <w:hideMark/>
          </w:tcPr>
          <w:p w14:paraId="0BE540CD" w14:textId="52864BB0"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37</w:t>
            </w:r>
          </w:p>
        </w:tc>
        <w:tc>
          <w:tcPr>
            <w:tcW w:w="1160" w:type="dxa"/>
            <w:gridSpan w:val="2"/>
            <w:shd w:val="clear" w:color="auto" w:fill="auto"/>
            <w:vAlign w:val="center"/>
            <w:hideMark/>
          </w:tcPr>
          <w:p w14:paraId="74F39ED5" w14:textId="08599BAD"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45</w:t>
            </w:r>
          </w:p>
        </w:tc>
        <w:tc>
          <w:tcPr>
            <w:tcW w:w="993" w:type="dxa"/>
            <w:gridSpan w:val="2"/>
            <w:shd w:val="clear" w:color="auto" w:fill="auto"/>
            <w:vAlign w:val="center"/>
            <w:hideMark/>
          </w:tcPr>
          <w:p w14:paraId="41215195" w14:textId="7BBF42E9"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54</w:t>
            </w:r>
          </w:p>
        </w:tc>
        <w:tc>
          <w:tcPr>
            <w:tcW w:w="882" w:type="dxa"/>
            <w:shd w:val="clear" w:color="auto" w:fill="auto"/>
            <w:vAlign w:val="center"/>
            <w:hideMark/>
          </w:tcPr>
          <w:p w14:paraId="364392E0" w14:textId="77777777" w:rsidR="007B207E" w:rsidRPr="001D00A2" w:rsidRDefault="007B207E" w:rsidP="00105AC9">
            <w:pPr>
              <w:spacing w:after="0"/>
              <w:jc w:val="center"/>
              <w:rPr>
                <w:rFonts w:ascii="Times New Roman" w:eastAsia="Times New Roman" w:hAnsi="Times New Roman" w:cs="Times New Roman"/>
                <w:color w:val="000000"/>
                <w:sz w:val="18"/>
                <w:szCs w:val="18"/>
                <w:lang w:eastAsia="en-GB"/>
              </w:rPr>
            </w:pPr>
            <w:r w:rsidRPr="001D00A2">
              <w:rPr>
                <w:rFonts w:ascii="Times New Roman" w:hAnsi="Times New Roman" w:cs="Times New Roman"/>
                <w:color w:val="000000"/>
                <w:sz w:val="18"/>
                <w:szCs w:val="18"/>
              </w:rPr>
              <w:t> </w:t>
            </w:r>
          </w:p>
        </w:tc>
        <w:tc>
          <w:tcPr>
            <w:tcW w:w="912" w:type="dxa"/>
            <w:gridSpan w:val="2"/>
            <w:shd w:val="clear" w:color="auto" w:fill="auto"/>
            <w:vAlign w:val="center"/>
            <w:hideMark/>
          </w:tcPr>
          <w:p w14:paraId="59667BBB" w14:textId="77777777" w:rsidR="007B207E" w:rsidRPr="001D00A2" w:rsidRDefault="007B207E" w:rsidP="00105AC9">
            <w:pPr>
              <w:spacing w:after="0"/>
              <w:jc w:val="center"/>
              <w:rPr>
                <w:rFonts w:ascii="Times New Roman" w:eastAsia="Times New Roman" w:hAnsi="Times New Roman" w:cs="Times New Roman"/>
                <w:color w:val="000000"/>
                <w:sz w:val="18"/>
                <w:szCs w:val="18"/>
                <w:lang w:eastAsia="en-GB"/>
              </w:rPr>
            </w:pPr>
            <w:r w:rsidRPr="001D00A2">
              <w:rPr>
                <w:rFonts w:ascii="Times New Roman" w:hAnsi="Times New Roman" w:cs="Times New Roman"/>
                <w:color w:val="000000"/>
                <w:sz w:val="18"/>
                <w:szCs w:val="18"/>
              </w:rPr>
              <w:t> </w:t>
            </w:r>
          </w:p>
        </w:tc>
        <w:tc>
          <w:tcPr>
            <w:tcW w:w="963" w:type="dxa"/>
            <w:shd w:val="clear" w:color="auto" w:fill="auto"/>
            <w:vAlign w:val="center"/>
            <w:hideMark/>
          </w:tcPr>
          <w:p w14:paraId="4BA5A567" w14:textId="77777777" w:rsidR="007B207E" w:rsidRPr="001D00A2" w:rsidRDefault="007B207E" w:rsidP="00105AC9">
            <w:pPr>
              <w:spacing w:after="0"/>
              <w:jc w:val="center"/>
              <w:rPr>
                <w:rFonts w:ascii="Times New Roman" w:eastAsia="Times New Roman" w:hAnsi="Times New Roman" w:cs="Times New Roman"/>
                <w:color w:val="000000"/>
                <w:sz w:val="18"/>
                <w:szCs w:val="18"/>
                <w:lang w:eastAsia="en-GB"/>
              </w:rPr>
            </w:pPr>
            <w:r w:rsidRPr="001D00A2">
              <w:rPr>
                <w:rFonts w:ascii="Times New Roman" w:hAnsi="Times New Roman" w:cs="Times New Roman"/>
                <w:color w:val="000000"/>
                <w:sz w:val="18"/>
                <w:szCs w:val="18"/>
              </w:rPr>
              <w:t> </w:t>
            </w:r>
          </w:p>
        </w:tc>
        <w:tc>
          <w:tcPr>
            <w:tcW w:w="1081" w:type="dxa"/>
            <w:gridSpan w:val="2"/>
            <w:shd w:val="clear" w:color="auto" w:fill="auto"/>
            <w:vAlign w:val="center"/>
            <w:hideMark/>
          </w:tcPr>
          <w:p w14:paraId="2CC72C8C" w14:textId="77777777" w:rsidR="007B207E" w:rsidRPr="001D00A2" w:rsidRDefault="007B207E" w:rsidP="00105AC9">
            <w:pPr>
              <w:spacing w:after="0"/>
              <w:jc w:val="center"/>
              <w:rPr>
                <w:rFonts w:ascii="Times New Roman" w:eastAsia="Times New Roman" w:hAnsi="Times New Roman" w:cs="Times New Roman"/>
                <w:color w:val="000000"/>
                <w:sz w:val="18"/>
                <w:szCs w:val="18"/>
                <w:lang w:eastAsia="en-GB"/>
              </w:rPr>
            </w:pPr>
            <w:r w:rsidRPr="001D00A2">
              <w:rPr>
                <w:rFonts w:ascii="Times New Roman" w:hAnsi="Times New Roman" w:cs="Times New Roman"/>
                <w:color w:val="000000"/>
                <w:sz w:val="18"/>
                <w:szCs w:val="18"/>
              </w:rPr>
              <w:t> </w:t>
            </w:r>
          </w:p>
        </w:tc>
      </w:tr>
      <w:tr w:rsidR="007B207E" w:rsidRPr="009E2EEF" w14:paraId="78C74F3C" w14:textId="77777777" w:rsidTr="00914B14">
        <w:trPr>
          <w:jc w:val="center"/>
        </w:trPr>
        <w:tc>
          <w:tcPr>
            <w:tcW w:w="1594" w:type="dxa"/>
            <w:shd w:val="clear" w:color="auto" w:fill="auto"/>
            <w:vAlign w:val="center"/>
            <w:hideMark/>
          </w:tcPr>
          <w:p w14:paraId="012C52B5" w14:textId="2C82D912" w:rsidR="007B207E" w:rsidRPr="00036BBC" w:rsidRDefault="007B207E" w:rsidP="00105AC9">
            <w:pPr>
              <w:spacing w:after="0"/>
              <w:rPr>
                <w:rFonts w:ascii="Times New Roman" w:eastAsia="Times New Roman" w:hAnsi="Times New Roman" w:cs="Times New Roman"/>
                <w:b/>
                <w:bCs/>
                <w:sz w:val="18"/>
                <w:szCs w:val="18"/>
                <w:lang w:eastAsia="en-GB"/>
              </w:rPr>
            </w:pPr>
            <w:r w:rsidRPr="00036BBC">
              <w:rPr>
                <w:rFonts w:ascii="Times New Roman" w:hAnsi="Times New Roman" w:cs="Times New Roman"/>
                <w:b/>
                <w:bCs/>
                <w:sz w:val="18"/>
                <w:szCs w:val="18"/>
              </w:rPr>
              <w:t>PO2+PO3+PO4</w:t>
            </w:r>
          </w:p>
        </w:tc>
        <w:tc>
          <w:tcPr>
            <w:tcW w:w="1080" w:type="dxa"/>
            <w:shd w:val="clear" w:color="auto" w:fill="auto"/>
            <w:vAlign w:val="center"/>
            <w:hideMark/>
          </w:tcPr>
          <w:p w14:paraId="1C6D99EF" w14:textId="7307F4B7"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27</w:t>
            </w:r>
          </w:p>
        </w:tc>
        <w:tc>
          <w:tcPr>
            <w:tcW w:w="1065" w:type="dxa"/>
            <w:gridSpan w:val="2"/>
            <w:shd w:val="clear" w:color="auto" w:fill="auto"/>
            <w:vAlign w:val="center"/>
            <w:hideMark/>
          </w:tcPr>
          <w:p w14:paraId="33B737CC" w14:textId="323FC9FD"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38</w:t>
            </w:r>
          </w:p>
        </w:tc>
        <w:tc>
          <w:tcPr>
            <w:tcW w:w="1160" w:type="dxa"/>
            <w:gridSpan w:val="2"/>
            <w:shd w:val="clear" w:color="auto" w:fill="auto"/>
            <w:vAlign w:val="center"/>
            <w:hideMark/>
          </w:tcPr>
          <w:p w14:paraId="16E46783" w14:textId="0DF03D3C"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57</w:t>
            </w:r>
          </w:p>
        </w:tc>
        <w:tc>
          <w:tcPr>
            <w:tcW w:w="993" w:type="dxa"/>
            <w:gridSpan w:val="2"/>
            <w:shd w:val="clear" w:color="auto" w:fill="auto"/>
            <w:vAlign w:val="center"/>
            <w:hideMark/>
          </w:tcPr>
          <w:p w14:paraId="5363D8FA" w14:textId="304ACC34" w:rsidR="007B207E" w:rsidRPr="00036BBC" w:rsidRDefault="007B207E" w:rsidP="00105AC9">
            <w:pPr>
              <w:spacing w:after="0"/>
              <w:jc w:val="center"/>
              <w:rPr>
                <w:rFonts w:ascii="Times New Roman" w:eastAsia="Times New Roman" w:hAnsi="Times New Roman" w:cs="Times New Roman"/>
                <w:color w:val="000000"/>
                <w:sz w:val="18"/>
                <w:szCs w:val="18"/>
                <w:lang w:eastAsia="en-GB"/>
              </w:rPr>
            </w:pPr>
            <w:r w:rsidRPr="00036BBC">
              <w:rPr>
                <w:rFonts w:ascii="Times New Roman" w:hAnsi="Times New Roman" w:cs="Times New Roman"/>
                <w:color w:val="000000"/>
                <w:sz w:val="18"/>
                <w:szCs w:val="18"/>
              </w:rPr>
              <w:t>1</w:t>
            </w:r>
            <w:r w:rsidR="0083212C" w:rsidRPr="00036BBC">
              <w:rPr>
                <w:rFonts w:ascii="Times New Roman" w:hAnsi="Times New Roman" w:cs="Times New Roman"/>
                <w:color w:val="000000"/>
                <w:sz w:val="18"/>
                <w:szCs w:val="18"/>
              </w:rPr>
              <w:t>.</w:t>
            </w:r>
            <w:r w:rsidRPr="00036BBC">
              <w:rPr>
                <w:rFonts w:ascii="Times New Roman" w:hAnsi="Times New Roman" w:cs="Times New Roman"/>
                <w:color w:val="000000"/>
                <w:sz w:val="18"/>
                <w:szCs w:val="18"/>
              </w:rPr>
              <w:t>45</w:t>
            </w:r>
          </w:p>
        </w:tc>
        <w:tc>
          <w:tcPr>
            <w:tcW w:w="882" w:type="dxa"/>
            <w:shd w:val="clear" w:color="auto" w:fill="auto"/>
            <w:vAlign w:val="center"/>
            <w:hideMark/>
          </w:tcPr>
          <w:p w14:paraId="3887E2D9" w14:textId="59EC10E1" w:rsidR="007B207E" w:rsidRPr="001D00A2" w:rsidRDefault="007B207E" w:rsidP="00105AC9">
            <w:pPr>
              <w:spacing w:after="0"/>
              <w:jc w:val="center"/>
              <w:rPr>
                <w:rFonts w:ascii="Times New Roman" w:eastAsia="Times New Roman" w:hAnsi="Times New Roman" w:cs="Times New Roman"/>
                <w:sz w:val="18"/>
                <w:szCs w:val="18"/>
                <w:lang w:eastAsia="en-GB"/>
              </w:rPr>
            </w:pPr>
            <w:r w:rsidRPr="001D00A2">
              <w:rPr>
                <w:rFonts w:ascii="Times New Roman" w:hAnsi="Times New Roman" w:cs="Times New Roman"/>
                <w:color w:val="000000"/>
                <w:sz w:val="18"/>
                <w:szCs w:val="18"/>
              </w:rPr>
              <w:t>0</w:t>
            </w:r>
            <w:r w:rsidR="0083212C" w:rsidRPr="001D00A2">
              <w:rPr>
                <w:rFonts w:ascii="Times New Roman" w:hAnsi="Times New Roman" w:cs="Times New Roman"/>
                <w:color w:val="000000"/>
                <w:sz w:val="18"/>
                <w:szCs w:val="18"/>
              </w:rPr>
              <w:t>.</w:t>
            </w:r>
            <w:r w:rsidRPr="001D00A2">
              <w:rPr>
                <w:rFonts w:ascii="Times New Roman" w:hAnsi="Times New Roman" w:cs="Times New Roman"/>
                <w:color w:val="000000"/>
                <w:sz w:val="18"/>
                <w:szCs w:val="18"/>
              </w:rPr>
              <w:t>12</w:t>
            </w:r>
          </w:p>
        </w:tc>
        <w:tc>
          <w:tcPr>
            <w:tcW w:w="912" w:type="dxa"/>
            <w:gridSpan w:val="2"/>
            <w:shd w:val="clear" w:color="auto" w:fill="auto"/>
            <w:vAlign w:val="center"/>
            <w:hideMark/>
          </w:tcPr>
          <w:p w14:paraId="50166FE7" w14:textId="390C61CC" w:rsidR="007B207E" w:rsidRPr="001D00A2" w:rsidRDefault="007B207E" w:rsidP="00105AC9">
            <w:pPr>
              <w:spacing w:after="0"/>
              <w:jc w:val="center"/>
              <w:rPr>
                <w:rFonts w:ascii="Times New Roman" w:eastAsia="Times New Roman" w:hAnsi="Times New Roman" w:cs="Times New Roman"/>
                <w:sz w:val="18"/>
                <w:szCs w:val="18"/>
                <w:lang w:eastAsia="en-GB"/>
              </w:rPr>
            </w:pPr>
            <w:r w:rsidRPr="001D00A2">
              <w:rPr>
                <w:rFonts w:ascii="Times New Roman" w:hAnsi="Times New Roman" w:cs="Times New Roman"/>
                <w:color w:val="000000"/>
                <w:sz w:val="18"/>
                <w:szCs w:val="18"/>
              </w:rPr>
              <w:t>-0</w:t>
            </w:r>
            <w:r w:rsidR="0083212C" w:rsidRPr="001D00A2">
              <w:rPr>
                <w:rFonts w:ascii="Times New Roman" w:hAnsi="Times New Roman" w:cs="Times New Roman"/>
                <w:color w:val="000000"/>
                <w:sz w:val="18"/>
                <w:szCs w:val="18"/>
              </w:rPr>
              <w:t>.</w:t>
            </w:r>
            <w:r w:rsidRPr="001D00A2">
              <w:rPr>
                <w:rFonts w:ascii="Times New Roman" w:hAnsi="Times New Roman" w:cs="Times New Roman"/>
                <w:color w:val="000000"/>
                <w:sz w:val="18"/>
                <w:szCs w:val="18"/>
              </w:rPr>
              <w:t>11</w:t>
            </w:r>
          </w:p>
        </w:tc>
        <w:tc>
          <w:tcPr>
            <w:tcW w:w="963" w:type="dxa"/>
            <w:shd w:val="clear" w:color="auto" w:fill="auto"/>
            <w:vAlign w:val="center"/>
            <w:hideMark/>
          </w:tcPr>
          <w:p w14:paraId="07CFDF4B" w14:textId="385F4D43" w:rsidR="007B207E" w:rsidRPr="001D00A2" w:rsidRDefault="007B207E" w:rsidP="00105AC9">
            <w:pPr>
              <w:spacing w:after="0"/>
              <w:jc w:val="center"/>
              <w:rPr>
                <w:rFonts w:ascii="Times New Roman" w:eastAsia="Times New Roman" w:hAnsi="Times New Roman" w:cs="Times New Roman"/>
                <w:sz w:val="18"/>
                <w:szCs w:val="18"/>
                <w:lang w:eastAsia="en-GB"/>
              </w:rPr>
            </w:pPr>
            <w:r w:rsidRPr="001D00A2">
              <w:rPr>
                <w:rFonts w:ascii="Times New Roman" w:hAnsi="Times New Roman" w:cs="Times New Roman"/>
                <w:sz w:val="18"/>
                <w:szCs w:val="18"/>
              </w:rPr>
              <w:t>0</w:t>
            </w:r>
            <w:r w:rsidR="0083212C" w:rsidRPr="001D00A2">
              <w:rPr>
                <w:rFonts w:ascii="Times New Roman" w:hAnsi="Times New Roman" w:cs="Times New Roman"/>
                <w:sz w:val="18"/>
                <w:szCs w:val="18"/>
              </w:rPr>
              <w:t>.</w:t>
            </w:r>
            <w:r w:rsidRPr="001D00A2">
              <w:rPr>
                <w:rFonts w:ascii="Times New Roman" w:hAnsi="Times New Roman" w:cs="Times New Roman"/>
                <w:sz w:val="18"/>
                <w:szCs w:val="18"/>
              </w:rPr>
              <w:t>45</w:t>
            </w:r>
          </w:p>
        </w:tc>
        <w:tc>
          <w:tcPr>
            <w:tcW w:w="1081" w:type="dxa"/>
            <w:gridSpan w:val="2"/>
            <w:shd w:val="clear" w:color="auto" w:fill="auto"/>
            <w:vAlign w:val="center"/>
            <w:hideMark/>
          </w:tcPr>
          <w:p w14:paraId="4CB5E2B6" w14:textId="6850D1BF" w:rsidR="007B207E" w:rsidRPr="001D00A2" w:rsidRDefault="007B207E" w:rsidP="00105AC9">
            <w:pPr>
              <w:spacing w:after="0"/>
              <w:jc w:val="center"/>
              <w:rPr>
                <w:rFonts w:ascii="Times New Roman" w:eastAsia="Times New Roman" w:hAnsi="Times New Roman" w:cs="Times New Roman"/>
                <w:sz w:val="18"/>
                <w:szCs w:val="18"/>
                <w:lang w:eastAsia="en-GB"/>
              </w:rPr>
            </w:pPr>
            <w:r w:rsidRPr="001D00A2">
              <w:rPr>
                <w:rFonts w:ascii="Times New Roman" w:hAnsi="Times New Roman" w:cs="Times New Roman"/>
                <w:sz w:val="18"/>
                <w:szCs w:val="18"/>
              </w:rPr>
              <w:t>1</w:t>
            </w:r>
            <w:r w:rsidR="0083212C" w:rsidRPr="001D00A2">
              <w:rPr>
                <w:rFonts w:ascii="Times New Roman" w:hAnsi="Times New Roman" w:cs="Times New Roman"/>
                <w:sz w:val="18"/>
                <w:szCs w:val="18"/>
              </w:rPr>
              <w:t>.</w:t>
            </w:r>
            <w:r w:rsidRPr="001D00A2">
              <w:rPr>
                <w:rFonts w:ascii="Times New Roman" w:hAnsi="Times New Roman" w:cs="Times New Roman"/>
                <w:sz w:val="18"/>
                <w:szCs w:val="18"/>
              </w:rPr>
              <w:t>08</w:t>
            </w:r>
          </w:p>
        </w:tc>
      </w:tr>
      <w:tr w:rsidR="00EF4F4A" w:rsidRPr="009E2EEF" w14:paraId="3AABD51D" w14:textId="77777777" w:rsidTr="00914B14">
        <w:trPr>
          <w:jc w:val="center"/>
        </w:trPr>
        <w:tc>
          <w:tcPr>
            <w:tcW w:w="1594" w:type="dxa"/>
            <w:shd w:val="clear" w:color="auto" w:fill="auto"/>
            <w:vAlign w:val="center"/>
          </w:tcPr>
          <w:p w14:paraId="31D49D17" w14:textId="32CE5624" w:rsidR="00EF4F4A" w:rsidRPr="00036BBC" w:rsidRDefault="00EF4F4A" w:rsidP="00105AC9">
            <w:pPr>
              <w:spacing w:after="0"/>
              <w:rPr>
                <w:rFonts w:ascii="Times New Roman" w:hAnsi="Times New Roman" w:cs="Times New Roman"/>
                <w:b/>
                <w:bCs/>
                <w:sz w:val="18"/>
                <w:szCs w:val="18"/>
              </w:rPr>
            </w:pPr>
            <w:r w:rsidRPr="00036BBC">
              <w:rPr>
                <w:rFonts w:ascii="Times New Roman" w:hAnsi="Times New Roman" w:cs="Times New Roman"/>
                <w:b/>
                <w:bCs/>
                <w:sz w:val="18"/>
                <w:szCs w:val="18"/>
              </w:rPr>
              <w:t>PO2+PO3+PO4</w:t>
            </w:r>
            <w:r w:rsidR="003F0B8F" w:rsidRPr="00036BBC">
              <w:rPr>
                <w:rFonts w:ascii="Times New Roman" w:hAnsi="Times New Roman" w:cs="Times New Roman"/>
                <w:b/>
                <w:bCs/>
                <w:sz w:val="18"/>
                <w:szCs w:val="18"/>
              </w:rPr>
              <w:t>u</w:t>
            </w:r>
          </w:p>
        </w:tc>
        <w:tc>
          <w:tcPr>
            <w:tcW w:w="1080" w:type="dxa"/>
            <w:shd w:val="clear" w:color="auto" w:fill="auto"/>
            <w:vAlign w:val="center"/>
          </w:tcPr>
          <w:p w14:paraId="449B4888" w14:textId="5F5F6619" w:rsidR="00EF4F4A" w:rsidRPr="00036BBC" w:rsidRDefault="0083212C" w:rsidP="00105AC9">
            <w:pPr>
              <w:spacing w:after="0"/>
              <w:jc w:val="center"/>
              <w:rPr>
                <w:rFonts w:ascii="Times New Roman" w:hAnsi="Times New Roman" w:cs="Times New Roman"/>
                <w:color w:val="000000"/>
                <w:sz w:val="18"/>
                <w:szCs w:val="18"/>
              </w:rPr>
            </w:pPr>
            <w:r w:rsidRPr="00036BBC">
              <w:rPr>
                <w:rFonts w:ascii="Times New Roman" w:hAnsi="Times New Roman" w:cs="Times New Roman"/>
                <w:color w:val="000000"/>
                <w:sz w:val="18"/>
                <w:szCs w:val="18"/>
              </w:rPr>
              <w:t>1.27</w:t>
            </w:r>
          </w:p>
        </w:tc>
        <w:tc>
          <w:tcPr>
            <w:tcW w:w="1065" w:type="dxa"/>
            <w:gridSpan w:val="2"/>
            <w:shd w:val="clear" w:color="auto" w:fill="auto"/>
            <w:vAlign w:val="center"/>
          </w:tcPr>
          <w:p w14:paraId="143A66B2" w14:textId="3B1B2676" w:rsidR="00EF4F4A" w:rsidRPr="00036BBC" w:rsidRDefault="00036BBC" w:rsidP="00105AC9">
            <w:pPr>
              <w:spacing w:after="0"/>
              <w:jc w:val="center"/>
              <w:rPr>
                <w:rFonts w:ascii="Times New Roman" w:hAnsi="Times New Roman" w:cs="Times New Roman"/>
                <w:color w:val="000000"/>
                <w:sz w:val="18"/>
                <w:szCs w:val="18"/>
              </w:rPr>
            </w:pPr>
            <w:r w:rsidRPr="00036BBC">
              <w:rPr>
                <w:rFonts w:ascii="Times New Roman" w:hAnsi="Times New Roman" w:cs="Times New Roman"/>
                <w:color w:val="000000"/>
                <w:sz w:val="18"/>
                <w:szCs w:val="18"/>
              </w:rPr>
              <w:t>1.</w:t>
            </w:r>
            <w:r w:rsidR="00514CA6">
              <w:rPr>
                <w:rFonts w:ascii="Times New Roman" w:hAnsi="Times New Roman" w:cs="Times New Roman"/>
                <w:color w:val="000000"/>
                <w:sz w:val="18"/>
                <w:szCs w:val="18"/>
              </w:rPr>
              <w:t>38</w:t>
            </w:r>
          </w:p>
        </w:tc>
        <w:tc>
          <w:tcPr>
            <w:tcW w:w="1160" w:type="dxa"/>
            <w:gridSpan w:val="2"/>
            <w:shd w:val="clear" w:color="auto" w:fill="auto"/>
            <w:vAlign w:val="center"/>
          </w:tcPr>
          <w:p w14:paraId="1F82739D" w14:textId="719029D2" w:rsidR="00EF4F4A" w:rsidRPr="00036BBC" w:rsidRDefault="00036BBC" w:rsidP="00105AC9">
            <w:pPr>
              <w:spacing w:after="0"/>
              <w:jc w:val="center"/>
              <w:rPr>
                <w:rFonts w:ascii="Times New Roman" w:hAnsi="Times New Roman" w:cs="Times New Roman"/>
                <w:color w:val="000000"/>
                <w:sz w:val="18"/>
                <w:szCs w:val="18"/>
              </w:rPr>
            </w:pPr>
            <w:r w:rsidRPr="00036BBC">
              <w:rPr>
                <w:rFonts w:ascii="Times New Roman" w:hAnsi="Times New Roman" w:cs="Times New Roman"/>
                <w:color w:val="000000"/>
                <w:sz w:val="18"/>
                <w:szCs w:val="18"/>
              </w:rPr>
              <w:t>1.58</w:t>
            </w:r>
          </w:p>
        </w:tc>
        <w:tc>
          <w:tcPr>
            <w:tcW w:w="993" w:type="dxa"/>
            <w:gridSpan w:val="2"/>
            <w:shd w:val="clear" w:color="auto" w:fill="auto"/>
            <w:vAlign w:val="center"/>
          </w:tcPr>
          <w:p w14:paraId="6A9A034F" w14:textId="133CB9E0" w:rsidR="00EF4F4A" w:rsidRPr="00036BBC" w:rsidRDefault="00036BBC" w:rsidP="00105AC9">
            <w:pPr>
              <w:spacing w:after="0"/>
              <w:jc w:val="center"/>
              <w:rPr>
                <w:rFonts w:ascii="Times New Roman" w:hAnsi="Times New Roman" w:cs="Times New Roman"/>
                <w:color w:val="000000"/>
                <w:sz w:val="18"/>
                <w:szCs w:val="18"/>
              </w:rPr>
            </w:pPr>
            <w:r w:rsidRPr="00036BBC">
              <w:rPr>
                <w:rFonts w:ascii="Times New Roman" w:hAnsi="Times New Roman" w:cs="Times New Roman"/>
                <w:color w:val="000000"/>
                <w:sz w:val="18"/>
                <w:szCs w:val="18"/>
              </w:rPr>
              <w:t>1.47</w:t>
            </w:r>
          </w:p>
        </w:tc>
        <w:tc>
          <w:tcPr>
            <w:tcW w:w="882" w:type="dxa"/>
            <w:shd w:val="clear" w:color="auto" w:fill="auto"/>
            <w:vAlign w:val="center"/>
          </w:tcPr>
          <w:p w14:paraId="317DCD29" w14:textId="5EEED999" w:rsidR="00EF4F4A" w:rsidRPr="009E2EEF" w:rsidRDefault="00B82368" w:rsidP="00105AC9">
            <w:pPr>
              <w:spacing w:after="0"/>
              <w:jc w:val="center"/>
              <w:rPr>
                <w:rFonts w:ascii="Times New Roman" w:hAnsi="Times New Roman" w:cs="Times New Roman"/>
                <w:color w:val="000000"/>
                <w:sz w:val="18"/>
                <w:szCs w:val="18"/>
                <w:highlight w:val="yellow"/>
              </w:rPr>
            </w:pPr>
            <w:r w:rsidRPr="00B82368">
              <w:rPr>
                <w:rFonts w:ascii="Times New Roman" w:hAnsi="Times New Roman" w:cs="Times New Roman"/>
                <w:color w:val="000000"/>
                <w:sz w:val="18"/>
                <w:szCs w:val="18"/>
              </w:rPr>
              <w:t>0.</w:t>
            </w:r>
            <w:r>
              <w:rPr>
                <w:rFonts w:ascii="Times New Roman" w:hAnsi="Times New Roman" w:cs="Times New Roman"/>
                <w:color w:val="000000"/>
                <w:sz w:val="18"/>
                <w:szCs w:val="18"/>
              </w:rPr>
              <w:t>13</w:t>
            </w:r>
          </w:p>
        </w:tc>
        <w:tc>
          <w:tcPr>
            <w:tcW w:w="912" w:type="dxa"/>
            <w:gridSpan w:val="2"/>
            <w:shd w:val="clear" w:color="auto" w:fill="auto"/>
            <w:vAlign w:val="center"/>
          </w:tcPr>
          <w:p w14:paraId="4234611B" w14:textId="04DEB104" w:rsidR="00EF4F4A" w:rsidRPr="009E2EEF" w:rsidRDefault="00B82368" w:rsidP="00105AC9">
            <w:pPr>
              <w:spacing w:after="0"/>
              <w:jc w:val="center"/>
              <w:rPr>
                <w:rFonts w:ascii="Times New Roman" w:hAnsi="Times New Roman" w:cs="Times New Roman"/>
                <w:color w:val="000000"/>
                <w:sz w:val="18"/>
                <w:szCs w:val="18"/>
                <w:highlight w:val="yellow"/>
              </w:rPr>
            </w:pPr>
            <w:r w:rsidRPr="00B82368">
              <w:rPr>
                <w:rFonts w:ascii="Times New Roman" w:hAnsi="Times New Roman" w:cs="Times New Roman"/>
                <w:color w:val="000000"/>
                <w:sz w:val="18"/>
                <w:szCs w:val="18"/>
              </w:rPr>
              <w:t>-0.07</w:t>
            </w:r>
          </w:p>
        </w:tc>
        <w:tc>
          <w:tcPr>
            <w:tcW w:w="963" w:type="dxa"/>
            <w:shd w:val="clear" w:color="auto" w:fill="auto"/>
            <w:vAlign w:val="center"/>
          </w:tcPr>
          <w:p w14:paraId="6E7E2006" w14:textId="72EDE7C1" w:rsidR="00EF4F4A" w:rsidRPr="00957050" w:rsidRDefault="00957050" w:rsidP="00105AC9">
            <w:pPr>
              <w:spacing w:after="0"/>
              <w:jc w:val="center"/>
              <w:rPr>
                <w:rFonts w:ascii="Times New Roman" w:hAnsi="Times New Roman" w:cs="Times New Roman"/>
                <w:sz w:val="18"/>
                <w:szCs w:val="18"/>
              </w:rPr>
            </w:pPr>
            <w:r w:rsidRPr="00957050">
              <w:rPr>
                <w:rFonts w:ascii="Times New Roman" w:hAnsi="Times New Roman" w:cs="Times New Roman"/>
                <w:sz w:val="18"/>
                <w:szCs w:val="18"/>
              </w:rPr>
              <w:t>0.54</w:t>
            </w:r>
          </w:p>
        </w:tc>
        <w:tc>
          <w:tcPr>
            <w:tcW w:w="1081" w:type="dxa"/>
            <w:gridSpan w:val="2"/>
            <w:shd w:val="clear" w:color="auto" w:fill="auto"/>
            <w:vAlign w:val="center"/>
          </w:tcPr>
          <w:p w14:paraId="779F7080" w14:textId="0BD2223A" w:rsidR="00EF4F4A" w:rsidRPr="00957050" w:rsidRDefault="00957050" w:rsidP="00105AC9">
            <w:pPr>
              <w:spacing w:after="0"/>
              <w:jc w:val="center"/>
              <w:rPr>
                <w:rFonts w:ascii="Times New Roman" w:hAnsi="Times New Roman" w:cs="Times New Roman"/>
                <w:sz w:val="18"/>
                <w:szCs w:val="18"/>
              </w:rPr>
            </w:pPr>
            <w:r w:rsidRPr="00957050">
              <w:rPr>
                <w:rFonts w:ascii="Times New Roman" w:hAnsi="Times New Roman" w:cs="Times New Roman"/>
                <w:sz w:val="18"/>
                <w:szCs w:val="18"/>
              </w:rPr>
              <w:t>1.29</w:t>
            </w:r>
          </w:p>
        </w:tc>
      </w:tr>
      <w:tr w:rsidR="007B207E" w:rsidRPr="003F0B8F" w14:paraId="1ED726DD" w14:textId="77777777" w:rsidTr="00914B14">
        <w:trPr>
          <w:jc w:val="center"/>
        </w:trPr>
        <w:tc>
          <w:tcPr>
            <w:tcW w:w="1594" w:type="dxa"/>
            <w:vMerge w:val="restart"/>
            <w:shd w:val="clear" w:color="auto" w:fill="D9D9D9" w:themeFill="background1" w:themeFillShade="D9"/>
            <w:vAlign w:val="bottom"/>
            <w:hideMark/>
          </w:tcPr>
          <w:p w14:paraId="0873B930" w14:textId="77777777" w:rsidR="007B207E" w:rsidRPr="003F0B8F" w:rsidRDefault="007B207E" w:rsidP="00105AC9">
            <w:pPr>
              <w:spacing w:after="0"/>
              <w:rPr>
                <w:rFonts w:ascii="Times New Roman" w:eastAsia="Times New Roman" w:hAnsi="Times New Roman" w:cs="Times New Roman"/>
                <w:sz w:val="18"/>
                <w:szCs w:val="18"/>
                <w:lang w:eastAsia="en-GB"/>
              </w:rPr>
            </w:pPr>
            <w:r w:rsidRPr="003F0B8F">
              <w:rPr>
                <w:rFonts w:ascii="Times New Roman" w:eastAsia="Times New Roman" w:hAnsi="Times New Roman" w:cs="Times New Roman"/>
                <w:sz w:val="18"/>
                <w:szCs w:val="18"/>
                <w:lang w:eastAsia="en-GB"/>
              </w:rPr>
              <w:t> </w:t>
            </w:r>
          </w:p>
          <w:p w14:paraId="5A94266D" w14:textId="77777777" w:rsidR="007B207E" w:rsidRPr="003F0B8F" w:rsidRDefault="007B207E" w:rsidP="00105AC9">
            <w:pPr>
              <w:spacing w:after="0"/>
              <w:rPr>
                <w:rFonts w:ascii="Times New Roman" w:eastAsia="Times New Roman" w:hAnsi="Times New Roman" w:cs="Times New Roman"/>
                <w:sz w:val="18"/>
                <w:szCs w:val="18"/>
                <w:lang w:eastAsia="en-GB"/>
              </w:rPr>
            </w:pPr>
            <w:r w:rsidRPr="003F0B8F">
              <w:rPr>
                <w:rFonts w:ascii="Times New Roman" w:eastAsia="Times New Roman" w:hAnsi="Times New Roman" w:cs="Times New Roman"/>
                <w:b/>
                <w:bCs/>
                <w:sz w:val="18"/>
                <w:szCs w:val="18"/>
                <w:lang w:eastAsia="en-GB"/>
              </w:rPr>
              <w:t> </w:t>
            </w:r>
          </w:p>
        </w:tc>
        <w:tc>
          <w:tcPr>
            <w:tcW w:w="4298" w:type="dxa"/>
            <w:gridSpan w:val="7"/>
            <w:shd w:val="clear" w:color="auto" w:fill="D9D9D9" w:themeFill="background1" w:themeFillShade="D9"/>
            <w:vAlign w:val="center"/>
            <w:hideMark/>
          </w:tcPr>
          <w:p w14:paraId="00930216"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Retail turnover [bln. €/year]</w:t>
            </w:r>
          </w:p>
        </w:tc>
        <w:tc>
          <w:tcPr>
            <w:tcW w:w="1794" w:type="dxa"/>
            <w:gridSpan w:val="3"/>
            <w:shd w:val="clear" w:color="auto" w:fill="D9D9D9" w:themeFill="background1" w:themeFillShade="D9"/>
            <w:vAlign w:val="center"/>
            <w:hideMark/>
          </w:tcPr>
          <w:p w14:paraId="22C3BB58"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 xml:space="preserve">Difference to BAU [bln. €/year] </w:t>
            </w:r>
          </w:p>
        </w:tc>
        <w:tc>
          <w:tcPr>
            <w:tcW w:w="2044" w:type="dxa"/>
            <w:gridSpan w:val="3"/>
            <w:shd w:val="clear" w:color="auto" w:fill="D9D9D9" w:themeFill="background1" w:themeFillShade="D9"/>
            <w:vAlign w:val="center"/>
            <w:hideMark/>
          </w:tcPr>
          <w:p w14:paraId="49F6DF09"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Cumulative difference [bln. €]</w:t>
            </w:r>
          </w:p>
        </w:tc>
      </w:tr>
      <w:tr w:rsidR="007B207E" w:rsidRPr="003F0B8F" w14:paraId="5132BD1D" w14:textId="77777777" w:rsidTr="00914B14">
        <w:trPr>
          <w:jc w:val="center"/>
        </w:trPr>
        <w:tc>
          <w:tcPr>
            <w:tcW w:w="1594" w:type="dxa"/>
            <w:vMerge/>
            <w:shd w:val="clear" w:color="auto" w:fill="D9D9D9" w:themeFill="background1" w:themeFillShade="D9"/>
            <w:vAlign w:val="bottom"/>
            <w:hideMark/>
          </w:tcPr>
          <w:p w14:paraId="3EFAAC20" w14:textId="77777777" w:rsidR="007B207E" w:rsidRPr="003F0B8F" w:rsidRDefault="007B207E" w:rsidP="00105AC9">
            <w:pPr>
              <w:spacing w:after="0"/>
              <w:rPr>
                <w:rFonts w:ascii="Times New Roman" w:eastAsia="Times New Roman" w:hAnsi="Times New Roman" w:cs="Times New Roman"/>
                <w:b/>
                <w:bCs/>
                <w:sz w:val="18"/>
                <w:szCs w:val="18"/>
                <w:lang w:eastAsia="en-GB"/>
              </w:rPr>
            </w:pPr>
          </w:p>
        </w:tc>
        <w:tc>
          <w:tcPr>
            <w:tcW w:w="1080" w:type="dxa"/>
            <w:shd w:val="clear" w:color="auto" w:fill="D9D9D9" w:themeFill="background1" w:themeFillShade="D9"/>
            <w:vAlign w:val="bottom"/>
            <w:hideMark/>
          </w:tcPr>
          <w:p w14:paraId="31AA182D"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2020</w:t>
            </w:r>
          </w:p>
        </w:tc>
        <w:tc>
          <w:tcPr>
            <w:tcW w:w="1065" w:type="dxa"/>
            <w:gridSpan w:val="2"/>
            <w:shd w:val="clear" w:color="auto" w:fill="D9D9D9" w:themeFill="background1" w:themeFillShade="D9"/>
            <w:vAlign w:val="bottom"/>
            <w:hideMark/>
          </w:tcPr>
          <w:p w14:paraId="656E33F0"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2025</w:t>
            </w:r>
          </w:p>
        </w:tc>
        <w:tc>
          <w:tcPr>
            <w:tcW w:w="1160" w:type="dxa"/>
            <w:gridSpan w:val="2"/>
            <w:shd w:val="clear" w:color="auto" w:fill="D9D9D9" w:themeFill="background1" w:themeFillShade="D9"/>
            <w:vAlign w:val="bottom"/>
            <w:hideMark/>
          </w:tcPr>
          <w:p w14:paraId="4FCB63DD"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2030</w:t>
            </w:r>
          </w:p>
        </w:tc>
        <w:tc>
          <w:tcPr>
            <w:tcW w:w="993" w:type="dxa"/>
            <w:gridSpan w:val="2"/>
            <w:shd w:val="clear" w:color="auto" w:fill="D9D9D9" w:themeFill="background1" w:themeFillShade="D9"/>
            <w:vAlign w:val="bottom"/>
            <w:hideMark/>
          </w:tcPr>
          <w:p w14:paraId="48C301C8"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2040</w:t>
            </w:r>
          </w:p>
        </w:tc>
        <w:tc>
          <w:tcPr>
            <w:tcW w:w="882" w:type="dxa"/>
            <w:shd w:val="clear" w:color="auto" w:fill="D9D9D9" w:themeFill="background1" w:themeFillShade="D9"/>
            <w:vAlign w:val="bottom"/>
            <w:hideMark/>
          </w:tcPr>
          <w:p w14:paraId="7C283017"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2030</w:t>
            </w:r>
          </w:p>
        </w:tc>
        <w:tc>
          <w:tcPr>
            <w:tcW w:w="912" w:type="dxa"/>
            <w:gridSpan w:val="2"/>
            <w:shd w:val="clear" w:color="auto" w:fill="D9D9D9" w:themeFill="background1" w:themeFillShade="D9"/>
            <w:vAlign w:val="bottom"/>
            <w:hideMark/>
          </w:tcPr>
          <w:p w14:paraId="2CC9EBC7"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2040</w:t>
            </w:r>
          </w:p>
        </w:tc>
        <w:tc>
          <w:tcPr>
            <w:tcW w:w="963" w:type="dxa"/>
            <w:shd w:val="clear" w:color="auto" w:fill="D9D9D9" w:themeFill="background1" w:themeFillShade="D9"/>
            <w:vAlign w:val="bottom"/>
            <w:hideMark/>
          </w:tcPr>
          <w:p w14:paraId="5966E9DD"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2030</w:t>
            </w:r>
          </w:p>
        </w:tc>
        <w:tc>
          <w:tcPr>
            <w:tcW w:w="1081" w:type="dxa"/>
            <w:gridSpan w:val="2"/>
            <w:shd w:val="clear" w:color="auto" w:fill="D9D9D9" w:themeFill="background1" w:themeFillShade="D9"/>
            <w:vAlign w:val="bottom"/>
            <w:hideMark/>
          </w:tcPr>
          <w:p w14:paraId="5C26A271" w14:textId="77777777" w:rsidR="007B207E" w:rsidRPr="003F0B8F" w:rsidRDefault="007B207E" w:rsidP="00105AC9">
            <w:pPr>
              <w:spacing w:after="0"/>
              <w:jc w:val="center"/>
              <w:rPr>
                <w:rFonts w:ascii="Times New Roman" w:eastAsia="Times New Roman" w:hAnsi="Times New Roman" w:cs="Times New Roman"/>
                <w:b/>
                <w:bCs/>
                <w:sz w:val="18"/>
                <w:szCs w:val="18"/>
                <w:lang w:eastAsia="en-GB"/>
              </w:rPr>
            </w:pPr>
            <w:r w:rsidRPr="003F0B8F">
              <w:rPr>
                <w:rFonts w:ascii="Times New Roman" w:eastAsia="Times New Roman" w:hAnsi="Times New Roman" w:cs="Times New Roman"/>
                <w:b/>
                <w:bCs/>
                <w:sz w:val="18"/>
                <w:szCs w:val="18"/>
                <w:lang w:eastAsia="en-GB"/>
              </w:rPr>
              <w:t>2040</w:t>
            </w:r>
          </w:p>
        </w:tc>
      </w:tr>
      <w:tr w:rsidR="007B207E" w:rsidRPr="003F0B8F" w14:paraId="4F007968" w14:textId="77777777" w:rsidTr="00914B14">
        <w:trPr>
          <w:jc w:val="center"/>
        </w:trPr>
        <w:tc>
          <w:tcPr>
            <w:tcW w:w="1594" w:type="dxa"/>
            <w:shd w:val="clear" w:color="auto" w:fill="auto"/>
            <w:vAlign w:val="center"/>
            <w:hideMark/>
          </w:tcPr>
          <w:p w14:paraId="228DE93D" w14:textId="77777777" w:rsidR="007B207E" w:rsidRPr="003F0B8F" w:rsidRDefault="007B207E" w:rsidP="00105AC9">
            <w:pPr>
              <w:spacing w:after="0"/>
              <w:rPr>
                <w:rFonts w:ascii="Times New Roman" w:eastAsia="Times New Roman" w:hAnsi="Times New Roman" w:cs="Times New Roman"/>
                <w:b/>
                <w:bCs/>
                <w:sz w:val="18"/>
                <w:szCs w:val="18"/>
                <w:lang w:eastAsia="en-GB"/>
              </w:rPr>
            </w:pPr>
            <w:r w:rsidRPr="003F0B8F">
              <w:rPr>
                <w:rFonts w:ascii="Times New Roman" w:hAnsi="Times New Roman" w:cs="Times New Roman"/>
                <w:b/>
                <w:bCs/>
                <w:sz w:val="18"/>
                <w:szCs w:val="18"/>
              </w:rPr>
              <w:t>BAU</w:t>
            </w:r>
          </w:p>
        </w:tc>
        <w:tc>
          <w:tcPr>
            <w:tcW w:w="1080" w:type="dxa"/>
            <w:shd w:val="clear" w:color="auto" w:fill="auto"/>
            <w:vAlign w:val="center"/>
            <w:hideMark/>
          </w:tcPr>
          <w:p w14:paraId="39398B9F" w14:textId="51882420"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69</w:t>
            </w:r>
          </w:p>
        </w:tc>
        <w:tc>
          <w:tcPr>
            <w:tcW w:w="1065" w:type="dxa"/>
            <w:gridSpan w:val="2"/>
            <w:shd w:val="clear" w:color="auto" w:fill="auto"/>
            <w:vAlign w:val="center"/>
            <w:hideMark/>
          </w:tcPr>
          <w:p w14:paraId="6FAE3105" w14:textId="5B495080"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84</w:t>
            </w:r>
          </w:p>
        </w:tc>
        <w:tc>
          <w:tcPr>
            <w:tcW w:w="1160" w:type="dxa"/>
            <w:gridSpan w:val="2"/>
            <w:shd w:val="clear" w:color="auto" w:fill="auto"/>
            <w:vAlign w:val="center"/>
            <w:hideMark/>
          </w:tcPr>
          <w:p w14:paraId="089B79FE" w14:textId="5F2FBCD5"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94</w:t>
            </w:r>
          </w:p>
        </w:tc>
        <w:tc>
          <w:tcPr>
            <w:tcW w:w="993" w:type="dxa"/>
            <w:gridSpan w:val="2"/>
            <w:shd w:val="clear" w:color="auto" w:fill="auto"/>
            <w:vAlign w:val="center"/>
            <w:hideMark/>
          </w:tcPr>
          <w:p w14:paraId="4FA3AB69" w14:textId="614A1B92"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3</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12</w:t>
            </w:r>
          </w:p>
        </w:tc>
        <w:tc>
          <w:tcPr>
            <w:tcW w:w="882" w:type="dxa"/>
            <w:shd w:val="clear" w:color="auto" w:fill="auto"/>
            <w:vAlign w:val="center"/>
            <w:hideMark/>
          </w:tcPr>
          <w:p w14:paraId="54F3C671" w14:textId="77777777"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 </w:t>
            </w:r>
          </w:p>
        </w:tc>
        <w:tc>
          <w:tcPr>
            <w:tcW w:w="912" w:type="dxa"/>
            <w:gridSpan w:val="2"/>
            <w:shd w:val="clear" w:color="auto" w:fill="auto"/>
            <w:vAlign w:val="center"/>
            <w:hideMark/>
          </w:tcPr>
          <w:p w14:paraId="2710BB16" w14:textId="77777777"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 </w:t>
            </w:r>
          </w:p>
        </w:tc>
        <w:tc>
          <w:tcPr>
            <w:tcW w:w="963" w:type="dxa"/>
            <w:shd w:val="clear" w:color="auto" w:fill="auto"/>
            <w:vAlign w:val="center"/>
            <w:hideMark/>
          </w:tcPr>
          <w:p w14:paraId="47E61342" w14:textId="77777777"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 </w:t>
            </w:r>
          </w:p>
        </w:tc>
        <w:tc>
          <w:tcPr>
            <w:tcW w:w="1081" w:type="dxa"/>
            <w:gridSpan w:val="2"/>
            <w:shd w:val="clear" w:color="auto" w:fill="auto"/>
            <w:vAlign w:val="center"/>
            <w:hideMark/>
          </w:tcPr>
          <w:p w14:paraId="607DA3C4" w14:textId="77777777"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 </w:t>
            </w:r>
          </w:p>
        </w:tc>
      </w:tr>
      <w:tr w:rsidR="007B207E" w:rsidRPr="003F0B8F" w14:paraId="35C6261E" w14:textId="77777777" w:rsidTr="00914B14">
        <w:trPr>
          <w:jc w:val="center"/>
        </w:trPr>
        <w:tc>
          <w:tcPr>
            <w:tcW w:w="1594" w:type="dxa"/>
            <w:shd w:val="clear" w:color="auto" w:fill="auto"/>
            <w:vAlign w:val="center"/>
            <w:hideMark/>
          </w:tcPr>
          <w:p w14:paraId="603E7780" w14:textId="01A50349" w:rsidR="007B207E" w:rsidRPr="003F0B8F" w:rsidRDefault="007B207E" w:rsidP="00105AC9">
            <w:pPr>
              <w:spacing w:after="0"/>
              <w:rPr>
                <w:rFonts w:ascii="Times New Roman" w:eastAsia="Times New Roman" w:hAnsi="Times New Roman" w:cs="Times New Roman"/>
                <w:b/>
                <w:bCs/>
                <w:sz w:val="18"/>
                <w:szCs w:val="18"/>
                <w:lang w:eastAsia="en-GB"/>
              </w:rPr>
            </w:pPr>
            <w:r w:rsidRPr="003F0B8F">
              <w:rPr>
                <w:rFonts w:ascii="Times New Roman" w:hAnsi="Times New Roman" w:cs="Times New Roman"/>
                <w:b/>
                <w:bCs/>
                <w:sz w:val="18"/>
                <w:szCs w:val="18"/>
              </w:rPr>
              <w:t>PO2+PO3+PO4</w:t>
            </w:r>
          </w:p>
        </w:tc>
        <w:tc>
          <w:tcPr>
            <w:tcW w:w="1080" w:type="dxa"/>
            <w:shd w:val="clear" w:color="auto" w:fill="auto"/>
            <w:vAlign w:val="center"/>
            <w:hideMark/>
          </w:tcPr>
          <w:p w14:paraId="577B58D8" w14:textId="70026CF9"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69</w:t>
            </w:r>
          </w:p>
        </w:tc>
        <w:tc>
          <w:tcPr>
            <w:tcW w:w="1065" w:type="dxa"/>
            <w:gridSpan w:val="2"/>
            <w:shd w:val="clear" w:color="auto" w:fill="auto"/>
            <w:vAlign w:val="center"/>
            <w:hideMark/>
          </w:tcPr>
          <w:p w14:paraId="320C2D29" w14:textId="06E09370"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003F0B8F" w:rsidRPr="003F0B8F">
              <w:rPr>
                <w:rFonts w:ascii="Times New Roman" w:hAnsi="Times New Roman" w:cs="Times New Roman"/>
                <w:color w:val="000000"/>
                <w:sz w:val="18"/>
                <w:szCs w:val="18"/>
              </w:rPr>
              <w:t>87</w:t>
            </w:r>
          </w:p>
        </w:tc>
        <w:tc>
          <w:tcPr>
            <w:tcW w:w="1160" w:type="dxa"/>
            <w:gridSpan w:val="2"/>
            <w:shd w:val="clear" w:color="auto" w:fill="auto"/>
            <w:vAlign w:val="center"/>
            <w:hideMark/>
          </w:tcPr>
          <w:p w14:paraId="182D5DCE" w14:textId="7DE9C652"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3</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09</w:t>
            </w:r>
          </w:p>
        </w:tc>
        <w:tc>
          <w:tcPr>
            <w:tcW w:w="993" w:type="dxa"/>
            <w:gridSpan w:val="2"/>
            <w:shd w:val="clear" w:color="auto" w:fill="auto"/>
            <w:vAlign w:val="center"/>
            <w:hideMark/>
          </w:tcPr>
          <w:p w14:paraId="1F746E7F" w14:textId="7FA93C38" w:rsidR="007B207E" w:rsidRPr="003F0B8F" w:rsidRDefault="007B207E" w:rsidP="00105AC9">
            <w:pPr>
              <w:spacing w:after="0"/>
              <w:jc w:val="center"/>
              <w:rPr>
                <w:rFonts w:ascii="Times New Roman" w:eastAsia="Times New Roman" w:hAnsi="Times New Roman" w:cs="Times New Roman"/>
                <w:color w:val="000000"/>
                <w:sz w:val="18"/>
                <w:szCs w:val="18"/>
                <w:lang w:eastAsia="en-GB"/>
              </w:rPr>
            </w:pPr>
            <w:r w:rsidRPr="003F0B8F">
              <w:rPr>
                <w:rFonts w:ascii="Times New Roman" w:hAnsi="Times New Roman" w:cs="Times New Roman"/>
                <w:color w:val="000000"/>
                <w:sz w:val="18"/>
                <w:szCs w:val="18"/>
              </w:rPr>
              <w:t>2</w:t>
            </w:r>
            <w:r w:rsidR="00EF54C2"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30</w:t>
            </w:r>
          </w:p>
        </w:tc>
        <w:tc>
          <w:tcPr>
            <w:tcW w:w="882" w:type="dxa"/>
            <w:shd w:val="clear" w:color="auto" w:fill="auto"/>
            <w:vAlign w:val="center"/>
            <w:hideMark/>
          </w:tcPr>
          <w:p w14:paraId="50BFBCA0" w14:textId="578CB95D" w:rsidR="007B207E" w:rsidRPr="003F0B8F" w:rsidRDefault="007B207E" w:rsidP="00105AC9">
            <w:pPr>
              <w:spacing w:after="0"/>
              <w:jc w:val="center"/>
              <w:rPr>
                <w:rFonts w:ascii="Times New Roman" w:eastAsia="Times New Roman" w:hAnsi="Times New Roman" w:cs="Times New Roman"/>
                <w:sz w:val="18"/>
                <w:szCs w:val="18"/>
                <w:lang w:eastAsia="en-GB"/>
              </w:rPr>
            </w:pPr>
            <w:r w:rsidRPr="003F0B8F">
              <w:rPr>
                <w:rFonts w:ascii="Times New Roman" w:hAnsi="Times New Roman" w:cs="Times New Roman"/>
                <w:color w:val="000000"/>
                <w:sz w:val="18"/>
                <w:szCs w:val="18"/>
              </w:rPr>
              <w:t>0</w:t>
            </w:r>
            <w:r w:rsidR="00231756" w:rsidRPr="003F0B8F">
              <w:rPr>
                <w:rFonts w:ascii="Times New Roman" w:hAnsi="Times New Roman" w:cs="Times New Roman"/>
                <w:color w:val="000000"/>
                <w:sz w:val="18"/>
                <w:szCs w:val="18"/>
              </w:rPr>
              <w:t>.</w:t>
            </w:r>
            <w:r w:rsidRPr="003F0B8F">
              <w:rPr>
                <w:rFonts w:ascii="Times New Roman" w:hAnsi="Times New Roman" w:cs="Times New Roman"/>
                <w:color w:val="000000"/>
                <w:sz w:val="18"/>
                <w:szCs w:val="18"/>
              </w:rPr>
              <w:t>13</w:t>
            </w:r>
          </w:p>
        </w:tc>
        <w:tc>
          <w:tcPr>
            <w:tcW w:w="912" w:type="dxa"/>
            <w:gridSpan w:val="2"/>
            <w:shd w:val="clear" w:color="auto" w:fill="auto"/>
            <w:vAlign w:val="center"/>
            <w:hideMark/>
          </w:tcPr>
          <w:p w14:paraId="66B432B2" w14:textId="7CCBBDF1" w:rsidR="007B207E" w:rsidRPr="003F0B8F" w:rsidRDefault="007B207E" w:rsidP="00105AC9">
            <w:pPr>
              <w:spacing w:after="0"/>
              <w:jc w:val="center"/>
              <w:rPr>
                <w:rFonts w:ascii="Times New Roman" w:eastAsia="Times New Roman" w:hAnsi="Times New Roman" w:cs="Times New Roman"/>
                <w:sz w:val="18"/>
                <w:szCs w:val="18"/>
                <w:lang w:eastAsia="en-GB"/>
              </w:rPr>
            </w:pPr>
            <w:r w:rsidRPr="003F0B8F">
              <w:rPr>
                <w:rFonts w:ascii="Times New Roman" w:hAnsi="Times New Roman" w:cs="Times New Roman"/>
                <w:color w:val="000000"/>
                <w:sz w:val="18"/>
                <w:szCs w:val="18"/>
              </w:rPr>
              <w:t>-0</w:t>
            </w:r>
            <w:r w:rsidR="0049731D">
              <w:rPr>
                <w:rFonts w:ascii="Times New Roman" w:hAnsi="Times New Roman" w:cs="Times New Roman"/>
                <w:color w:val="000000"/>
                <w:sz w:val="18"/>
                <w:szCs w:val="18"/>
              </w:rPr>
              <w:t>.</w:t>
            </w:r>
            <w:r w:rsidRPr="003F0B8F">
              <w:rPr>
                <w:rFonts w:ascii="Times New Roman" w:hAnsi="Times New Roman" w:cs="Times New Roman"/>
                <w:color w:val="000000"/>
                <w:sz w:val="18"/>
                <w:szCs w:val="18"/>
              </w:rPr>
              <w:t>8</w:t>
            </w:r>
            <w:r w:rsidR="00231756" w:rsidRPr="003F0B8F">
              <w:rPr>
                <w:rFonts w:ascii="Times New Roman" w:hAnsi="Times New Roman" w:cs="Times New Roman"/>
                <w:color w:val="000000"/>
                <w:sz w:val="18"/>
                <w:szCs w:val="18"/>
              </w:rPr>
              <w:t>2</w:t>
            </w:r>
          </w:p>
        </w:tc>
        <w:tc>
          <w:tcPr>
            <w:tcW w:w="963" w:type="dxa"/>
            <w:shd w:val="clear" w:color="auto" w:fill="auto"/>
            <w:vAlign w:val="center"/>
            <w:hideMark/>
          </w:tcPr>
          <w:p w14:paraId="2A09B813" w14:textId="3661A48A" w:rsidR="007B207E" w:rsidRPr="003F0B8F" w:rsidRDefault="007B207E" w:rsidP="00105AC9">
            <w:pPr>
              <w:spacing w:after="0"/>
              <w:jc w:val="center"/>
              <w:rPr>
                <w:rFonts w:ascii="Times New Roman" w:eastAsia="Times New Roman" w:hAnsi="Times New Roman" w:cs="Times New Roman"/>
                <w:sz w:val="18"/>
                <w:szCs w:val="18"/>
                <w:lang w:eastAsia="en-GB"/>
              </w:rPr>
            </w:pPr>
            <w:r w:rsidRPr="003F0B8F">
              <w:rPr>
                <w:rFonts w:ascii="Times New Roman" w:hAnsi="Times New Roman" w:cs="Times New Roman"/>
                <w:sz w:val="18"/>
                <w:szCs w:val="18"/>
              </w:rPr>
              <w:t>0</w:t>
            </w:r>
            <w:r w:rsidR="003F0B8F" w:rsidRPr="003F0B8F">
              <w:rPr>
                <w:rFonts w:ascii="Times New Roman" w:hAnsi="Times New Roman" w:cs="Times New Roman"/>
                <w:sz w:val="18"/>
                <w:szCs w:val="18"/>
              </w:rPr>
              <w:t>.</w:t>
            </w:r>
            <w:r w:rsidRPr="003F0B8F">
              <w:rPr>
                <w:rFonts w:ascii="Times New Roman" w:hAnsi="Times New Roman" w:cs="Times New Roman"/>
                <w:sz w:val="18"/>
                <w:szCs w:val="18"/>
              </w:rPr>
              <w:t>80</w:t>
            </w:r>
          </w:p>
        </w:tc>
        <w:tc>
          <w:tcPr>
            <w:tcW w:w="1081" w:type="dxa"/>
            <w:gridSpan w:val="2"/>
            <w:shd w:val="clear" w:color="auto" w:fill="auto"/>
            <w:vAlign w:val="center"/>
            <w:hideMark/>
          </w:tcPr>
          <w:p w14:paraId="51E76979" w14:textId="77777777" w:rsidR="007B207E" w:rsidRPr="003F0B8F" w:rsidRDefault="007B207E" w:rsidP="00105AC9">
            <w:pPr>
              <w:spacing w:after="0"/>
              <w:jc w:val="center"/>
              <w:rPr>
                <w:rFonts w:ascii="Times New Roman" w:eastAsia="Times New Roman" w:hAnsi="Times New Roman" w:cs="Times New Roman"/>
                <w:sz w:val="18"/>
                <w:szCs w:val="18"/>
                <w:lang w:eastAsia="en-GB"/>
              </w:rPr>
            </w:pPr>
            <w:r w:rsidRPr="003F0B8F">
              <w:rPr>
                <w:rFonts w:ascii="Times New Roman" w:hAnsi="Times New Roman" w:cs="Times New Roman"/>
                <w:sz w:val="18"/>
                <w:szCs w:val="18"/>
              </w:rPr>
              <w:t>-2.32</w:t>
            </w:r>
          </w:p>
        </w:tc>
      </w:tr>
      <w:tr w:rsidR="00EF4F4A" w:rsidRPr="009E2EEF" w14:paraId="7DCD5EBE" w14:textId="77777777" w:rsidTr="00914B14">
        <w:trPr>
          <w:jc w:val="center"/>
        </w:trPr>
        <w:tc>
          <w:tcPr>
            <w:tcW w:w="1594" w:type="dxa"/>
            <w:shd w:val="clear" w:color="auto" w:fill="auto"/>
            <w:vAlign w:val="center"/>
          </w:tcPr>
          <w:p w14:paraId="2A907265" w14:textId="327BAA23" w:rsidR="00EF4F4A" w:rsidRPr="003F0B8F" w:rsidRDefault="00EF4F4A" w:rsidP="00105AC9">
            <w:pPr>
              <w:spacing w:after="0"/>
              <w:rPr>
                <w:rFonts w:ascii="Times New Roman" w:hAnsi="Times New Roman" w:cs="Times New Roman"/>
                <w:b/>
                <w:bCs/>
                <w:sz w:val="18"/>
                <w:szCs w:val="18"/>
              </w:rPr>
            </w:pPr>
            <w:r w:rsidRPr="003F0B8F">
              <w:rPr>
                <w:rFonts w:ascii="Times New Roman" w:hAnsi="Times New Roman" w:cs="Times New Roman"/>
                <w:b/>
                <w:bCs/>
                <w:sz w:val="18"/>
                <w:szCs w:val="18"/>
              </w:rPr>
              <w:t>PO2+PO3+PO4</w:t>
            </w:r>
            <w:r w:rsidR="003F0B8F" w:rsidRPr="003F0B8F">
              <w:rPr>
                <w:rFonts w:ascii="Times New Roman" w:hAnsi="Times New Roman" w:cs="Times New Roman"/>
                <w:b/>
                <w:bCs/>
                <w:sz w:val="18"/>
                <w:szCs w:val="18"/>
              </w:rPr>
              <w:t>u</w:t>
            </w:r>
          </w:p>
        </w:tc>
        <w:tc>
          <w:tcPr>
            <w:tcW w:w="1080" w:type="dxa"/>
            <w:shd w:val="clear" w:color="auto" w:fill="auto"/>
            <w:vAlign w:val="center"/>
          </w:tcPr>
          <w:p w14:paraId="02815E24" w14:textId="77C796D1" w:rsidR="00EF4F4A" w:rsidRPr="003F0B8F" w:rsidRDefault="00EF54C2"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2.69</w:t>
            </w:r>
          </w:p>
        </w:tc>
        <w:tc>
          <w:tcPr>
            <w:tcW w:w="1065" w:type="dxa"/>
            <w:gridSpan w:val="2"/>
            <w:shd w:val="clear" w:color="auto" w:fill="auto"/>
            <w:vAlign w:val="center"/>
          </w:tcPr>
          <w:p w14:paraId="38054F90" w14:textId="6CFD2ABB" w:rsidR="00EF4F4A" w:rsidRPr="003F0B8F" w:rsidRDefault="00EF54C2"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2.</w:t>
            </w:r>
            <w:r w:rsidR="00514CA6">
              <w:rPr>
                <w:rFonts w:ascii="Times New Roman" w:hAnsi="Times New Roman" w:cs="Times New Roman"/>
                <w:color w:val="000000"/>
                <w:sz w:val="18"/>
                <w:szCs w:val="18"/>
              </w:rPr>
              <w:t>87</w:t>
            </w:r>
          </w:p>
        </w:tc>
        <w:tc>
          <w:tcPr>
            <w:tcW w:w="1160" w:type="dxa"/>
            <w:gridSpan w:val="2"/>
            <w:shd w:val="clear" w:color="auto" w:fill="auto"/>
            <w:vAlign w:val="center"/>
          </w:tcPr>
          <w:p w14:paraId="3ECA21E7" w14:textId="1248E254" w:rsidR="00EF4F4A" w:rsidRPr="003F0B8F" w:rsidRDefault="00EF54C2"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3.10</w:t>
            </w:r>
          </w:p>
        </w:tc>
        <w:tc>
          <w:tcPr>
            <w:tcW w:w="993" w:type="dxa"/>
            <w:gridSpan w:val="2"/>
            <w:shd w:val="clear" w:color="auto" w:fill="auto"/>
            <w:vAlign w:val="center"/>
          </w:tcPr>
          <w:p w14:paraId="6B837C8C" w14:textId="2BFD22EA" w:rsidR="00EF4F4A" w:rsidRPr="003F0B8F" w:rsidRDefault="00EF54C2"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2.34</w:t>
            </w:r>
          </w:p>
        </w:tc>
        <w:tc>
          <w:tcPr>
            <w:tcW w:w="882" w:type="dxa"/>
            <w:shd w:val="clear" w:color="auto" w:fill="auto"/>
            <w:vAlign w:val="center"/>
          </w:tcPr>
          <w:p w14:paraId="2E4DFAB3" w14:textId="3133BB1E" w:rsidR="00EF4F4A" w:rsidRPr="003F0B8F" w:rsidRDefault="00231756"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0.14</w:t>
            </w:r>
          </w:p>
        </w:tc>
        <w:tc>
          <w:tcPr>
            <w:tcW w:w="912" w:type="dxa"/>
            <w:gridSpan w:val="2"/>
            <w:shd w:val="clear" w:color="auto" w:fill="auto"/>
            <w:vAlign w:val="center"/>
          </w:tcPr>
          <w:p w14:paraId="009777FA" w14:textId="36E08B84" w:rsidR="00EF4F4A" w:rsidRPr="003F0B8F" w:rsidRDefault="00231756" w:rsidP="00105AC9">
            <w:pPr>
              <w:spacing w:after="0"/>
              <w:jc w:val="center"/>
              <w:rPr>
                <w:rFonts w:ascii="Times New Roman" w:hAnsi="Times New Roman" w:cs="Times New Roman"/>
                <w:color w:val="000000"/>
                <w:sz w:val="18"/>
                <w:szCs w:val="18"/>
              </w:rPr>
            </w:pPr>
            <w:r w:rsidRPr="003F0B8F">
              <w:rPr>
                <w:rFonts w:ascii="Times New Roman" w:hAnsi="Times New Roman" w:cs="Times New Roman"/>
                <w:color w:val="000000"/>
                <w:sz w:val="18"/>
                <w:szCs w:val="18"/>
              </w:rPr>
              <w:t>-0.78</w:t>
            </w:r>
          </w:p>
        </w:tc>
        <w:tc>
          <w:tcPr>
            <w:tcW w:w="963" w:type="dxa"/>
            <w:shd w:val="clear" w:color="auto" w:fill="auto"/>
            <w:vAlign w:val="center"/>
          </w:tcPr>
          <w:p w14:paraId="4DE26838" w14:textId="5C9E4579" w:rsidR="00EF4F4A" w:rsidRPr="003F0B8F" w:rsidRDefault="0049731D" w:rsidP="00105AC9">
            <w:pPr>
              <w:spacing w:after="0"/>
              <w:jc w:val="center"/>
              <w:rPr>
                <w:rFonts w:ascii="Times New Roman" w:hAnsi="Times New Roman" w:cs="Times New Roman"/>
                <w:sz w:val="18"/>
                <w:szCs w:val="18"/>
              </w:rPr>
            </w:pPr>
            <w:r>
              <w:rPr>
                <w:rFonts w:ascii="Times New Roman" w:hAnsi="Times New Roman" w:cs="Times New Roman"/>
                <w:sz w:val="18"/>
                <w:szCs w:val="18"/>
              </w:rPr>
              <w:t>0.99</w:t>
            </w:r>
          </w:p>
        </w:tc>
        <w:tc>
          <w:tcPr>
            <w:tcW w:w="1081" w:type="dxa"/>
            <w:gridSpan w:val="2"/>
            <w:shd w:val="clear" w:color="auto" w:fill="auto"/>
            <w:vAlign w:val="center"/>
          </w:tcPr>
          <w:p w14:paraId="01C5013E" w14:textId="7E61551D" w:rsidR="0049731D" w:rsidRPr="003F0B8F" w:rsidRDefault="0049731D" w:rsidP="0049731D">
            <w:pPr>
              <w:spacing w:after="0"/>
              <w:jc w:val="center"/>
              <w:rPr>
                <w:rFonts w:ascii="Times New Roman" w:hAnsi="Times New Roman" w:cs="Times New Roman"/>
                <w:sz w:val="18"/>
                <w:szCs w:val="18"/>
              </w:rPr>
            </w:pPr>
            <w:r>
              <w:rPr>
                <w:rFonts w:ascii="Times New Roman" w:hAnsi="Times New Roman" w:cs="Times New Roman"/>
                <w:sz w:val="18"/>
                <w:szCs w:val="18"/>
              </w:rPr>
              <w:t>-1.27</w:t>
            </w:r>
          </w:p>
        </w:tc>
      </w:tr>
      <w:tr w:rsidR="007B207E" w:rsidRPr="00051ED5" w14:paraId="238F4723" w14:textId="77777777" w:rsidTr="00914B14">
        <w:trPr>
          <w:jc w:val="center"/>
        </w:trPr>
        <w:tc>
          <w:tcPr>
            <w:tcW w:w="1594" w:type="dxa"/>
            <w:vMerge w:val="restart"/>
            <w:shd w:val="clear" w:color="auto" w:fill="D9D9D9" w:themeFill="background1" w:themeFillShade="D9"/>
            <w:vAlign w:val="bottom"/>
            <w:hideMark/>
          </w:tcPr>
          <w:p w14:paraId="0DB11A9A" w14:textId="77777777" w:rsidR="007B207E" w:rsidRPr="00051ED5" w:rsidRDefault="007B207E" w:rsidP="00105AC9">
            <w:pPr>
              <w:spacing w:after="0"/>
              <w:rPr>
                <w:rFonts w:ascii="Times New Roman" w:eastAsia="Times New Roman" w:hAnsi="Times New Roman" w:cs="Times New Roman"/>
                <w:sz w:val="18"/>
                <w:szCs w:val="18"/>
                <w:lang w:eastAsia="en-GB"/>
              </w:rPr>
            </w:pPr>
            <w:r w:rsidRPr="00051ED5">
              <w:rPr>
                <w:rFonts w:ascii="Times New Roman" w:eastAsia="Times New Roman" w:hAnsi="Times New Roman" w:cs="Times New Roman"/>
                <w:sz w:val="18"/>
                <w:szCs w:val="18"/>
                <w:lang w:eastAsia="en-GB"/>
              </w:rPr>
              <w:t> </w:t>
            </w:r>
          </w:p>
          <w:p w14:paraId="5E564748" w14:textId="77777777" w:rsidR="007B207E" w:rsidRPr="00051ED5" w:rsidRDefault="007B207E" w:rsidP="00105AC9">
            <w:pPr>
              <w:spacing w:after="0"/>
              <w:rPr>
                <w:rFonts w:ascii="Times New Roman" w:eastAsia="Times New Roman" w:hAnsi="Times New Roman" w:cs="Times New Roman"/>
                <w:sz w:val="18"/>
                <w:szCs w:val="18"/>
                <w:lang w:eastAsia="en-GB"/>
              </w:rPr>
            </w:pPr>
            <w:r w:rsidRPr="00051ED5">
              <w:rPr>
                <w:rFonts w:ascii="Times New Roman" w:eastAsia="Times New Roman" w:hAnsi="Times New Roman" w:cs="Times New Roman"/>
                <w:b/>
                <w:bCs/>
                <w:sz w:val="18"/>
                <w:szCs w:val="18"/>
                <w:lang w:eastAsia="en-GB"/>
              </w:rPr>
              <w:t> </w:t>
            </w:r>
          </w:p>
        </w:tc>
        <w:tc>
          <w:tcPr>
            <w:tcW w:w="4298" w:type="dxa"/>
            <w:gridSpan w:val="7"/>
            <w:shd w:val="clear" w:color="auto" w:fill="D9D9D9" w:themeFill="background1" w:themeFillShade="D9"/>
            <w:vAlign w:val="center"/>
            <w:hideMark/>
          </w:tcPr>
          <w:p w14:paraId="2EF97DFB"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Total user expenditure [bln. €/year]</w:t>
            </w:r>
          </w:p>
        </w:tc>
        <w:tc>
          <w:tcPr>
            <w:tcW w:w="1794" w:type="dxa"/>
            <w:gridSpan w:val="3"/>
            <w:shd w:val="clear" w:color="auto" w:fill="D9D9D9" w:themeFill="background1" w:themeFillShade="D9"/>
            <w:vAlign w:val="center"/>
            <w:hideMark/>
          </w:tcPr>
          <w:p w14:paraId="3462E472"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Savings [bln. €/year]</w:t>
            </w:r>
          </w:p>
        </w:tc>
        <w:tc>
          <w:tcPr>
            <w:tcW w:w="2044" w:type="dxa"/>
            <w:gridSpan w:val="3"/>
            <w:shd w:val="clear" w:color="auto" w:fill="D9D9D9" w:themeFill="background1" w:themeFillShade="D9"/>
            <w:vAlign w:val="center"/>
            <w:hideMark/>
          </w:tcPr>
          <w:p w14:paraId="50E2B038"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Cumulative savings [bln. €]</w:t>
            </w:r>
          </w:p>
        </w:tc>
      </w:tr>
      <w:tr w:rsidR="007B207E" w:rsidRPr="009E2EEF" w14:paraId="647F4090" w14:textId="77777777" w:rsidTr="00914B14">
        <w:trPr>
          <w:jc w:val="center"/>
        </w:trPr>
        <w:tc>
          <w:tcPr>
            <w:tcW w:w="1594" w:type="dxa"/>
            <w:vMerge/>
            <w:shd w:val="clear" w:color="auto" w:fill="D9D9D9" w:themeFill="background1" w:themeFillShade="D9"/>
            <w:vAlign w:val="bottom"/>
            <w:hideMark/>
          </w:tcPr>
          <w:p w14:paraId="4AA8C7AE" w14:textId="77777777" w:rsidR="007B207E" w:rsidRPr="00051ED5" w:rsidRDefault="007B207E" w:rsidP="00105AC9">
            <w:pPr>
              <w:spacing w:after="0"/>
              <w:rPr>
                <w:rFonts w:ascii="Times New Roman" w:eastAsia="Times New Roman" w:hAnsi="Times New Roman" w:cs="Times New Roman"/>
                <w:b/>
                <w:bCs/>
                <w:sz w:val="18"/>
                <w:szCs w:val="18"/>
                <w:lang w:eastAsia="en-GB"/>
              </w:rPr>
            </w:pPr>
          </w:p>
        </w:tc>
        <w:tc>
          <w:tcPr>
            <w:tcW w:w="1121" w:type="dxa"/>
            <w:gridSpan w:val="2"/>
            <w:shd w:val="clear" w:color="auto" w:fill="D9D9D9" w:themeFill="background1" w:themeFillShade="D9"/>
            <w:vAlign w:val="bottom"/>
            <w:hideMark/>
          </w:tcPr>
          <w:p w14:paraId="4801405E"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2020</w:t>
            </w:r>
          </w:p>
        </w:tc>
        <w:tc>
          <w:tcPr>
            <w:tcW w:w="1050" w:type="dxa"/>
            <w:gridSpan w:val="2"/>
            <w:shd w:val="clear" w:color="auto" w:fill="D9D9D9" w:themeFill="background1" w:themeFillShade="D9"/>
            <w:vAlign w:val="bottom"/>
            <w:hideMark/>
          </w:tcPr>
          <w:p w14:paraId="730F2E09"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2025</w:t>
            </w:r>
          </w:p>
        </w:tc>
        <w:tc>
          <w:tcPr>
            <w:tcW w:w="1147" w:type="dxa"/>
            <w:gridSpan w:val="2"/>
            <w:shd w:val="clear" w:color="auto" w:fill="D9D9D9" w:themeFill="background1" w:themeFillShade="D9"/>
            <w:vAlign w:val="bottom"/>
            <w:hideMark/>
          </w:tcPr>
          <w:p w14:paraId="286611F2"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980" w:type="dxa"/>
            <w:shd w:val="clear" w:color="auto" w:fill="D9D9D9" w:themeFill="background1" w:themeFillShade="D9"/>
            <w:vAlign w:val="bottom"/>
            <w:hideMark/>
          </w:tcPr>
          <w:p w14:paraId="6ECB425C"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c>
          <w:tcPr>
            <w:tcW w:w="897" w:type="dxa"/>
            <w:gridSpan w:val="2"/>
            <w:shd w:val="clear" w:color="auto" w:fill="D9D9D9" w:themeFill="background1" w:themeFillShade="D9"/>
            <w:vAlign w:val="bottom"/>
            <w:hideMark/>
          </w:tcPr>
          <w:p w14:paraId="06BDAE46"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897" w:type="dxa"/>
            <w:shd w:val="clear" w:color="auto" w:fill="D9D9D9" w:themeFill="background1" w:themeFillShade="D9"/>
            <w:vAlign w:val="bottom"/>
            <w:hideMark/>
          </w:tcPr>
          <w:p w14:paraId="35D367CE"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c>
          <w:tcPr>
            <w:tcW w:w="980" w:type="dxa"/>
            <w:gridSpan w:val="2"/>
            <w:shd w:val="clear" w:color="auto" w:fill="D9D9D9" w:themeFill="background1" w:themeFillShade="D9"/>
            <w:vAlign w:val="bottom"/>
            <w:hideMark/>
          </w:tcPr>
          <w:p w14:paraId="0A422268"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2030</w:t>
            </w:r>
          </w:p>
        </w:tc>
        <w:tc>
          <w:tcPr>
            <w:tcW w:w="1064" w:type="dxa"/>
            <w:shd w:val="clear" w:color="auto" w:fill="D9D9D9" w:themeFill="background1" w:themeFillShade="D9"/>
            <w:vAlign w:val="bottom"/>
            <w:hideMark/>
          </w:tcPr>
          <w:p w14:paraId="262E97B8" w14:textId="77777777" w:rsidR="007B207E" w:rsidRPr="00051ED5" w:rsidRDefault="007B207E" w:rsidP="00105AC9">
            <w:pPr>
              <w:spacing w:after="0"/>
              <w:jc w:val="center"/>
              <w:rPr>
                <w:rFonts w:ascii="Times New Roman" w:eastAsia="Times New Roman" w:hAnsi="Times New Roman" w:cs="Times New Roman"/>
                <w:b/>
                <w:bCs/>
                <w:sz w:val="18"/>
                <w:szCs w:val="18"/>
                <w:lang w:eastAsia="en-GB"/>
              </w:rPr>
            </w:pPr>
            <w:r w:rsidRPr="00051ED5">
              <w:rPr>
                <w:rFonts w:ascii="Times New Roman" w:eastAsia="Times New Roman" w:hAnsi="Times New Roman" w:cs="Times New Roman"/>
                <w:b/>
                <w:bCs/>
                <w:sz w:val="18"/>
                <w:szCs w:val="18"/>
                <w:lang w:eastAsia="en-GB"/>
              </w:rPr>
              <w:t>2040</w:t>
            </w:r>
          </w:p>
        </w:tc>
      </w:tr>
      <w:tr w:rsidR="007B207E" w:rsidRPr="00D52479" w14:paraId="2B7ADD4A" w14:textId="77777777" w:rsidTr="00914B14">
        <w:trPr>
          <w:jc w:val="center"/>
        </w:trPr>
        <w:tc>
          <w:tcPr>
            <w:tcW w:w="1594" w:type="dxa"/>
            <w:shd w:val="clear" w:color="auto" w:fill="auto"/>
            <w:vAlign w:val="center"/>
            <w:hideMark/>
          </w:tcPr>
          <w:p w14:paraId="00DCC289" w14:textId="77777777" w:rsidR="007B207E" w:rsidRPr="00D52479" w:rsidRDefault="007B207E" w:rsidP="00105AC9">
            <w:pPr>
              <w:spacing w:after="0"/>
              <w:rPr>
                <w:rFonts w:ascii="Times New Roman" w:eastAsia="Times New Roman" w:hAnsi="Times New Roman" w:cs="Times New Roman"/>
                <w:b/>
                <w:bCs/>
                <w:sz w:val="18"/>
                <w:szCs w:val="18"/>
                <w:lang w:eastAsia="en-GB"/>
              </w:rPr>
            </w:pPr>
            <w:r w:rsidRPr="00D52479">
              <w:rPr>
                <w:rFonts w:ascii="Times New Roman" w:hAnsi="Times New Roman" w:cs="Times New Roman"/>
                <w:b/>
                <w:bCs/>
                <w:sz w:val="18"/>
                <w:szCs w:val="18"/>
              </w:rPr>
              <w:t>BAU</w:t>
            </w:r>
          </w:p>
        </w:tc>
        <w:tc>
          <w:tcPr>
            <w:tcW w:w="1121" w:type="dxa"/>
            <w:gridSpan w:val="2"/>
            <w:shd w:val="clear" w:color="auto" w:fill="auto"/>
            <w:vAlign w:val="center"/>
            <w:hideMark/>
          </w:tcPr>
          <w:p w14:paraId="301FBCAA" w14:textId="485EAAFE"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08</w:t>
            </w:r>
          </w:p>
        </w:tc>
        <w:tc>
          <w:tcPr>
            <w:tcW w:w="1050" w:type="dxa"/>
            <w:gridSpan w:val="2"/>
            <w:shd w:val="clear" w:color="auto" w:fill="auto"/>
            <w:vAlign w:val="center"/>
            <w:hideMark/>
          </w:tcPr>
          <w:p w14:paraId="4C9596C2" w14:textId="77375A4B"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16</w:t>
            </w:r>
          </w:p>
        </w:tc>
        <w:tc>
          <w:tcPr>
            <w:tcW w:w="1147" w:type="dxa"/>
            <w:gridSpan w:val="2"/>
            <w:shd w:val="clear" w:color="auto" w:fill="auto"/>
            <w:vAlign w:val="center"/>
            <w:hideMark/>
          </w:tcPr>
          <w:p w14:paraId="21C55D05" w14:textId="2CAA4799"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26</w:t>
            </w:r>
          </w:p>
        </w:tc>
        <w:tc>
          <w:tcPr>
            <w:tcW w:w="980" w:type="dxa"/>
            <w:shd w:val="clear" w:color="auto" w:fill="auto"/>
            <w:vAlign w:val="center"/>
            <w:hideMark/>
          </w:tcPr>
          <w:p w14:paraId="2B8E3E04" w14:textId="5EDE7D4B"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26</w:t>
            </w:r>
          </w:p>
        </w:tc>
        <w:tc>
          <w:tcPr>
            <w:tcW w:w="897" w:type="dxa"/>
            <w:gridSpan w:val="2"/>
            <w:shd w:val="clear" w:color="auto" w:fill="auto"/>
            <w:vAlign w:val="center"/>
            <w:hideMark/>
          </w:tcPr>
          <w:p w14:paraId="0AEDF7F2" w14:textId="77777777"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 </w:t>
            </w:r>
          </w:p>
        </w:tc>
        <w:tc>
          <w:tcPr>
            <w:tcW w:w="897" w:type="dxa"/>
            <w:shd w:val="clear" w:color="auto" w:fill="auto"/>
            <w:vAlign w:val="center"/>
            <w:hideMark/>
          </w:tcPr>
          <w:p w14:paraId="664DC63E" w14:textId="77777777"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 </w:t>
            </w:r>
          </w:p>
        </w:tc>
        <w:tc>
          <w:tcPr>
            <w:tcW w:w="980" w:type="dxa"/>
            <w:gridSpan w:val="2"/>
            <w:shd w:val="clear" w:color="auto" w:fill="auto"/>
            <w:vAlign w:val="center"/>
          </w:tcPr>
          <w:p w14:paraId="50BB35BA" w14:textId="43A835F6"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p>
        </w:tc>
        <w:tc>
          <w:tcPr>
            <w:tcW w:w="1064" w:type="dxa"/>
            <w:shd w:val="clear" w:color="auto" w:fill="auto"/>
            <w:vAlign w:val="center"/>
          </w:tcPr>
          <w:p w14:paraId="39090E6A" w14:textId="77BA5DAA"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p>
        </w:tc>
      </w:tr>
      <w:tr w:rsidR="007B207E" w:rsidRPr="007B207E" w14:paraId="26CECF3D" w14:textId="77777777" w:rsidTr="00914B14">
        <w:trPr>
          <w:jc w:val="center"/>
        </w:trPr>
        <w:tc>
          <w:tcPr>
            <w:tcW w:w="1594" w:type="dxa"/>
            <w:shd w:val="clear" w:color="auto" w:fill="auto"/>
            <w:vAlign w:val="center"/>
            <w:hideMark/>
          </w:tcPr>
          <w:p w14:paraId="23881F20" w14:textId="4D3AD768" w:rsidR="007B207E" w:rsidRPr="00D52479" w:rsidRDefault="007B207E" w:rsidP="00105AC9">
            <w:pPr>
              <w:spacing w:after="0"/>
              <w:rPr>
                <w:rFonts w:ascii="Times New Roman" w:eastAsia="Times New Roman" w:hAnsi="Times New Roman" w:cs="Times New Roman"/>
                <w:b/>
                <w:bCs/>
                <w:sz w:val="18"/>
                <w:szCs w:val="18"/>
                <w:lang w:eastAsia="en-GB"/>
              </w:rPr>
            </w:pPr>
            <w:r w:rsidRPr="00D52479">
              <w:rPr>
                <w:rFonts w:ascii="Times New Roman" w:hAnsi="Times New Roman" w:cs="Times New Roman"/>
                <w:b/>
                <w:bCs/>
                <w:sz w:val="18"/>
                <w:szCs w:val="18"/>
              </w:rPr>
              <w:t>PO2+PO3+PO4</w:t>
            </w:r>
          </w:p>
        </w:tc>
        <w:tc>
          <w:tcPr>
            <w:tcW w:w="1121" w:type="dxa"/>
            <w:gridSpan w:val="2"/>
            <w:shd w:val="clear" w:color="auto" w:fill="auto"/>
            <w:vAlign w:val="center"/>
            <w:hideMark/>
          </w:tcPr>
          <w:p w14:paraId="381ECDCA" w14:textId="1524DD1A"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08</w:t>
            </w:r>
          </w:p>
        </w:tc>
        <w:tc>
          <w:tcPr>
            <w:tcW w:w="1050" w:type="dxa"/>
            <w:gridSpan w:val="2"/>
            <w:shd w:val="clear" w:color="auto" w:fill="auto"/>
            <w:vAlign w:val="center"/>
            <w:hideMark/>
          </w:tcPr>
          <w:p w14:paraId="10C99CF2" w14:textId="2680A787"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17</w:t>
            </w:r>
          </w:p>
        </w:tc>
        <w:tc>
          <w:tcPr>
            <w:tcW w:w="1147" w:type="dxa"/>
            <w:gridSpan w:val="2"/>
            <w:shd w:val="clear" w:color="auto" w:fill="auto"/>
            <w:vAlign w:val="center"/>
            <w:hideMark/>
          </w:tcPr>
          <w:p w14:paraId="2196AC3C" w14:textId="03A41A5F"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5</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33</w:t>
            </w:r>
          </w:p>
        </w:tc>
        <w:tc>
          <w:tcPr>
            <w:tcW w:w="980" w:type="dxa"/>
            <w:shd w:val="clear" w:color="auto" w:fill="auto"/>
            <w:vAlign w:val="center"/>
            <w:hideMark/>
          </w:tcPr>
          <w:p w14:paraId="2C5A35BE" w14:textId="0A0DE854"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4</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43</w:t>
            </w:r>
          </w:p>
        </w:tc>
        <w:tc>
          <w:tcPr>
            <w:tcW w:w="897" w:type="dxa"/>
            <w:gridSpan w:val="2"/>
            <w:shd w:val="clear" w:color="auto" w:fill="auto"/>
            <w:vAlign w:val="center"/>
            <w:hideMark/>
          </w:tcPr>
          <w:p w14:paraId="1BCC797E" w14:textId="76EF9D7C"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-0</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07</w:t>
            </w:r>
          </w:p>
        </w:tc>
        <w:tc>
          <w:tcPr>
            <w:tcW w:w="897" w:type="dxa"/>
            <w:shd w:val="clear" w:color="auto" w:fill="auto"/>
            <w:vAlign w:val="center"/>
            <w:hideMark/>
          </w:tcPr>
          <w:p w14:paraId="0E5D847C" w14:textId="0EC4D0F0"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0</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83</w:t>
            </w:r>
          </w:p>
        </w:tc>
        <w:tc>
          <w:tcPr>
            <w:tcW w:w="980" w:type="dxa"/>
            <w:gridSpan w:val="2"/>
            <w:shd w:val="clear" w:color="auto" w:fill="auto"/>
            <w:vAlign w:val="center"/>
            <w:hideMark/>
          </w:tcPr>
          <w:p w14:paraId="34B034E2" w14:textId="4C88ED86" w:rsidR="007B207E" w:rsidRPr="00D52479"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-0</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46</w:t>
            </w:r>
          </w:p>
        </w:tc>
        <w:tc>
          <w:tcPr>
            <w:tcW w:w="1064" w:type="dxa"/>
            <w:shd w:val="clear" w:color="auto" w:fill="auto"/>
            <w:vAlign w:val="center"/>
            <w:hideMark/>
          </w:tcPr>
          <w:p w14:paraId="66E97F8A" w14:textId="599BB9DC" w:rsidR="007B207E" w:rsidRPr="007B207E" w:rsidRDefault="007B207E" w:rsidP="00105AC9">
            <w:pPr>
              <w:spacing w:after="0"/>
              <w:jc w:val="center"/>
              <w:rPr>
                <w:rFonts w:ascii="Times New Roman" w:eastAsia="Times New Roman" w:hAnsi="Times New Roman" w:cs="Times New Roman"/>
                <w:color w:val="000000"/>
                <w:sz w:val="18"/>
                <w:szCs w:val="18"/>
                <w:lang w:eastAsia="en-GB"/>
              </w:rPr>
            </w:pPr>
            <w:r w:rsidRPr="00D52479">
              <w:rPr>
                <w:rFonts w:ascii="Times New Roman" w:hAnsi="Times New Roman" w:cs="Times New Roman"/>
                <w:color w:val="000000"/>
                <w:sz w:val="18"/>
                <w:szCs w:val="18"/>
              </w:rPr>
              <w:t>2</w:t>
            </w:r>
            <w:r w:rsidR="00B67934" w:rsidRPr="00D52479">
              <w:rPr>
                <w:rFonts w:ascii="Times New Roman" w:hAnsi="Times New Roman" w:cs="Times New Roman"/>
                <w:color w:val="000000"/>
                <w:sz w:val="18"/>
                <w:szCs w:val="18"/>
              </w:rPr>
              <w:t>.</w:t>
            </w:r>
            <w:r w:rsidRPr="00D52479">
              <w:rPr>
                <w:rFonts w:ascii="Times New Roman" w:hAnsi="Times New Roman" w:cs="Times New Roman"/>
                <w:color w:val="000000"/>
                <w:sz w:val="18"/>
                <w:szCs w:val="18"/>
              </w:rPr>
              <w:t>83</w:t>
            </w:r>
          </w:p>
        </w:tc>
      </w:tr>
      <w:tr w:rsidR="00EF4F4A" w:rsidRPr="007B207E" w14:paraId="31CC5FEC" w14:textId="77777777" w:rsidTr="00914B14">
        <w:trPr>
          <w:jc w:val="center"/>
        </w:trPr>
        <w:tc>
          <w:tcPr>
            <w:tcW w:w="1594" w:type="dxa"/>
            <w:shd w:val="clear" w:color="auto" w:fill="auto"/>
            <w:vAlign w:val="center"/>
          </w:tcPr>
          <w:p w14:paraId="53DF7BA6" w14:textId="65669C30" w:rsidR="00EF4F4A" w:rsidRPr="00D52479" w:rsidRDefault="00EF4F4A" w:rsidP="00105AC9">
            <w:pPr>
              <w:spacing w:after="0"/>
              <w:rPr>
                <w:rFonts w:ascii="Times New Roman" w:hAnsi="Times New Roman" w:cs="Times New Roman"/>
                <w:b/>
                <w:bCs/>
                <w:sz w:val="18"/>
                <w:szCs w:val="18"/>
              </w:rPr>
            </w:pPr>
            <w:r w:rsidRPr="00D52479">
              <w:rPr>
                <w:rFonts w:ascii="Times New Roman" w:hAnsi="Times New Roman" w:cs="Times New Roman"/>
                <w:b/>
                <w:bCs/>
                <w:sz w:val="18"/>
                <w:szCs w:val="18"/>
              </w:rPr>
              <w:t>PO2+PO3+PO4</w:t>
            </w:r>
            <w:r w:rsidR="003F0B8F" w:rsidRPr="00D52479">
              <w:rPr>
                <w:rFonts w:ascii="Times New Roman" w:hAnsi="Times New Roman" w:cs="Times New Roman"/>
                <w:b/>
                <w:bCs/>
                <w:sz w:val="18"/>
                <w:szCs w:val="18"/>
              </w:rPr>
              <w:t>u</w:t>
            </w:r>
          </w:p>
        </w:tc>
        <w:tc>
          <w:tcPr>
            <w:tcW w:w="1121" w:type="dxa"/>
            <w:gridSpan w:val="2"/>
            <w:shd w:val="clear" w:color="auto" w:fill="auto"/>
            <w:vAlign w:val="center"/>
          </w:tcPr>
          <w:p w14:paraId="3F977CDA" w14:textId="3D08251D" w:rsidR="00EF4F4A" w:rsidRPr="00D52479" w:rsidRDefault="00D52479" w:rsidP="00105AC9">
            <w:pPr>
              <w:spacing w:after="0"/>
              <w:jc w:val="center"/>
              <w:rPr>
                <w:rFonts w:ascii="Times New Roman" w:hAnsi="Times New Roman" w:cs="Times New Roman"/>
                <w:color w:val="000000"/>
                <w:sz w:val="18"/>
                <w:szCs w:val="18"/>
              </w:rPr>
            </w:pPr>
            <w:r w:rsidRPr="00D52479">
              <w:rPr>
                <w:rFonts w:ascii="Times New Roman" w:hAnsi="Times New Roman" w:cs="Times New Roman"/>
                <w:color w:val="000000"/>
                <w:sz w:val="18"/>
                <w:szCs w:val="18"/>
              </w:rPr>
              <w:t>5.08</w:t>
            </w:r>
          </w:p>
        </w:tc>
        <w:tc>
          <w:tcPr>
            <w:tcW w:w="1050" w:type="dxa"/>
            <w:gridSpan w:val="2"/>
            <w:shd w:val="clear" w:color="auto" w:fill="auto"/>
            <w:vAlign w:val="center"/>
          </w:tcPr>
          <w:p w14:paraId="319D801A" w14:textId="379D3E0E" w:rsidR="00EF4F4A" w:rsidRPr="00D52479" w:rsidRDefault="00D52479"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r w:rsidR="00514CA6">
              <w:rPr>
                <w:rFonts w:ascii="Times New Roman" w:hAnsi="Times New Roman" w:cs="Times New Roman"/>
                <w:color w:val="000000"/>
                <w:sz w:val="18"/>
                <w:szCs w:val="18"/>
              </w:rPr>
              <w:t>17</w:t>
            </w:r>
          </w:p>
        </w:tc>
        <w:tc>
          <w:tcPr>
            <w:tcW w:w="1147" w:type="dxa"/>
            <w:gridSpan w:val="2"/>
            <w:shd w:val="clear" w:color="auto" w:fill="auto"/>
            <w:vAlign w:val="center"/>
          </w:tcPr>
          <w:p w14:paraId="0248352C" w14:textId="69A9E6F0" w:rsidR="00EF4F4A" w:rsidRPr="00D52479" w:rsidRDefault="00D52479"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5.35</w:t>
            </w:r>
          </w:p>
        </w:tc>
        <w:tc>
          <w:tcPr>
            <w:tcW w:w="980" w:type="dxa"/>
            <w:shd w:val="clear" w:color="auto" w:fill="auto"/>
            <w:vAlign w:val="center"/>
          </w:tcPr>
          <w:p w14:paraId="272C96A7" w14:textId="4D408C6A" w:rsidR="00EF4F4A" w:rsidRPr="00D52479" w:rsidRDefault="00D52479"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4.47</w:t>
            </w:r>
          </w:p>
        </w:tc>
        <w:tc>
          <w:tcPr>
            <w:tcW w:w="897" w:type="dxa"/>
            <w:gridSpan w:val="2"/>
            <w:shd w:val="clear" w:color="auto" w:fill="auto"/>
            <w:vAlign w:val="center"/>
          </w:tcPr>
          <w:p w14:paraId="749C4AF3" w14:textId="2B870924" w:rsidR="00EF4F4A" w:rsidRPr="00D52479" w:rsidRDefault="00EE3804"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-0.09</w:t>
            </w:r>
          </w:p>
        </w:tc>
        <w:tc>
          <w:tcPr>
            <w:tcW w:w="897" w:type="dxa"/>
            <w:shd w:val="clear" w:color="auto" w:fill="auto"/>
            <w:vAlign w:val="center"/>
          </w:tcPr>
          <w:p w14:paraId="2AF44BA8" w14:textId="716C2B3C" w:rsidR="00EF4F4A" w:rsidRPr="00D52479" w:rsidRDefault="00EE3804"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980" w:type="dxa"/>
            <w:gridSpan w:val="2"/>
            <w:shd w:val="clear" w:color="auto" w:fill="auto"/>
            <w:vAlign w:val="center"/>
          </w:tcPr>
          <w:p w14:paraId="79073DC6" w14:textId="01DA077F" w:rsidR="00EF4F4A" w:rsidRPr="00D52479" w:rsidRDefault="00EE3804"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-0.70</w:t>
            </w:r>
          </w:p>
        </w:tc>
        <w:tc>
          <w:tcPr>
            <w:tcW w:w="1064" w:type="dxa"/>
            <w:shd w:val="clear" w:color="auto" w:fill="auto"/>
            <w:vAlign w:val="center"/>
          </w:tcPr>
          <w:p w14:paraId="25D9DBA7" w14:textId="37C24500" w:rsidR="00EF4F4A" w:rsidRPr="00D52479" w:rsidRDefault="00EE3804" w:rsidP="00105AC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2.26</w:t>
            </w:r>
          </w:p>
        </w:tc>
      </w:tr>
    </w:tbl>
    <w:p w14:paraId="6C209769" w14:textId="314E346E" w:rsidR="007B207E" w:rsidRPr="003C413A" w:rsidRDefault="007B207E" w:rsidP="007B207E">
      <w:pPr>
        <w:jc w:val="both"/>
        <w:rPr>
          <w:rFonts w:ascii="Times New Roman" w:hAnsi="Times New Roman" w:cs="Times New Roman"/>
          <w:sz w:val="24"/>
          <w:szCs w:val="24"/>
          <w:lang w:val="it-IT"/>
        </w:rPr>
      </w:pPr>
      <w:r w:rsidRPr="003C413A">
        <w:rPr>
          <w:rFonts w:ascii="Times New Roman" w:hAnsi="Times New Roman" w:cs="Times New Roman"/>
          <w:i/>
          <w:sz w:val="20"/>
          <w:szCs w:val="20"/>
          <w:lang w:val="it-IT"/>
        </w:rPr>
        <w:t xml:space="preserve">Table </w:t>
      </w:r>
      <w:r w:rsidR="00514CA6" w:rsidRPr="003C413A">
        <w:rPr>
          <w:rFonts w:ascii="Times New Roman" w:hAnsi="Times New Roman" w:cs="Times New Roman"/>
          <w:i/>
          <w:sz w:val="20"/>
          <w:szCs w:val="20"/>
          <w:lang w:val="it-IT"/>
        </w:rPr>
        <w:t>10</w:t>
      </w:r>
      <w:r w:rsidRPr="003C413A">
        <w:rPr>
          <w:rFonts w:ascii="Times New Roman" w:hAnsi="Times New Roman" w:cs="Times New Roman"/>
          <w:i/>
          <w:sz w:val="20"/>
          <w:szCs w:val="20"/>
          <w:lang w:val="it-IT"/>
        </w:rPr>
        <w:t xml:space="preserve">. </w:t>
      </w:r>
      <w:r w:rsidR="00486ADF" w:rsidRPr="003C413A">
        <w:rPr>
          <w:rFonts w:ascii="Times New Roman" w:hAnsi="Times New Roman" w:cs="Times New Roman"/>
          <w:i/>
          <w:sz w:val="20"/>
          <w:szCs w:val="20"/>
          <w:lang w:val="it-IT"/>
        </w:rPr>
        <w:t xml:space="preserve">EU </w:t>
      </w:r>
      <w:r w:rsidRPr="003C413A">
        <w:rPr>
          <w:rFonts w:ascii="Times New Roman" w:hAnsi="Times New Roman" w:cs="Times New Roman"/>
          <w:i/>
          <w:sz w:val="20"/>
          <w:szCs w:val="20"/>
          <w:lang w:val="it-IT"/>
        </w:rPr>
        <w:t xml:space="preserve">Economic impacts for </w:t>
      </w:r>
      <w:r w:rsidR="00486ADF" w:rsidRPr="003C413A">
        <w:rPr>
          <w:rFonts w:ascii="Times New Roman" w:hAnsi="Times New Roman" w:cs="Times New Roman"/>
          <w:i/>
          <w:sz w:val="20"/>
          <w:szCs w:val="20"/>
          <w:lang w:val="it-IT"/>
        </w:rPr>
        <w:t>BAU</w:t>
      </w:r>
      <w:r w:rsidR="00CC7E23" w:rsidRPr="003C413A">
        <w:rPr>
          <w:rFonts w:ascii="Times New Roman" w:hAnsi="Times New Roman" w:cs="Times New Roman"/>
          <w:i/>
          <w:sz w:val="20"/>
          <w:szCs w:val="20"/>
          <w:lang w:val="it-IT"/>
        </w:rPr>
        <w:t>,</w:t>
      </w:r>
      <w:r w:rsidRPr="003C413A">
        <w:rPr>
          <w:rFonts w:ascii="Times New Roman" w:hAnsi="Times New Roman" w:cs="Times New Roman"/>
          <w:i/>
          <w:sz w:val="20"/>
          <w:szCs w:val="20"/>
          <w:lang w:val="it-IT"/>
        </w:rPr>
        <w:t xml:space="preserve"> PO2+PO3+PO4 and </w:t>
      </w:r>
      <w:r w:rsidR="00486ADF" w:rsidRPr="003C413A">
        <w:rPr>
          <w:rFonts w:ascii="Times New Roman" w:hAnsi="Times New Roman" w:cs="Times New Roman"/>
          <w:i/>
          <w:sz w:val="20"/>
          <w:szCs w:val="20"/>
          <w:lang w:val="it-IT"/>
        </w:rPr>
        <w:t>PO2+PO3+PO4</w:t>
      </w:r>
      <w:r w:rsidR="00CC7E23" w:rsidRPr="003C413A">
        <w:rPr>
          <w:rFonts w:ascii="Times New Roman" w:hAnsi="Times New Roman" w:cs="Times New Roman"/>
          <w:i/>
          <w:sz w:val="20"/>
          <w:szCs w:val="20"/>
          <w:lang w:val="it-IT"/>
        </w:rPr>
        <w:t>u</w:t>
      </w:r>
    </w:p>
    <w:p w14:paraId="0CF2750C" w14:textId="6660C6C9" w:rsidR="004C6C91" w:rsidRDefault="007B207E" w:rsidP="00362B0A">
      <w:pPr>
        <w:pStyle w:val="Heading3"/>
      </w:pPr>
      <w:r>
        <w:t>Social impacts</w:t>
      </w:r>
      <w:r w:rsidR="00A02CEF">
        <w:t>. Employment</w:t>
      </w:r>
    </w:p>
    <w:p w14:paraId="4FE06CA4" w14:textId="2552CDBD" w:rsidR="00EF4F4A" w:rsidRDefault="004B3F61" w:rsidP="00486ADF">
      <w:pPr>
        <w:pStyle w:val="Default"/>
        <w:spacing w:after="240"/>
        <w:jc w:val="both"/>
      </w:pPr>
      <w:r>
        <w:t xml:space="preserve">The slight change in the sector’s turnover </w:t>
      </w:r>
      <w:r w:rsidR="00EF4F4A">
        <w:t xml:space="preserve">will produce an equivalent change of </w:t>
      </w:r>
      <w:r w:rsidR="009175F1">
        <w:t>employment</w:t>
      </w:r>
      <w:r w:rsidR="00EF4F4A">
        <w:t xml:space="preserve">. As </w:t>
      </w:r>
      <w:r w:rsidR="007A799F">
        <w:t>explained</w:t>
      </w:r>
      <w:r w:rsidR="00EF4F4A">
        <w:t xml:space="preserve"> in the 2022 IA, t</w:t>
      </w:r>
      <w:r w:rsidR="00EF4F4A" w:rsidRPr="00F57AEF">
        <w:t xml:space="preserve">he </w:t>
      </w:r>
      <w:r w:rsidR="00EF4F4A">
        <w:t xml:space="preserve">impact </w:t>
      </w:r>
      <w:r w:rsidR="00EF4F4A" w:rsidRPr="00F57AEF">
        <w:t xml:space="preserve">on employment for manufacturers and </w:t>
      </w:r>
      <w:r w:rsidR="00EF4F4A">
        <w:t xml:space="preserve">retailers </w:t>
      </w:r>
      <w:r w:rsidR="00EF4F4A" w:rsidRPr="00F57AEF">
        <w:t xml:space="preserve">is estimated from </w:t>
      </w:r>
      <w:r w:rsidR="00EF4F4A">
        <w:t xml:space="preserve">the turnover, with a correction for changes in labour productivity. Based on historical manufacturing data, an increase of 1% in turnover will lead to a 0,6% increase in workforce, and a 1% decrease in turnover leads to a 1,6% decrease in workforce.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082"/>
        <w:gridCol w:w="1070"/>
        <w:gridCol w:w="1160"/>
        <w:gridCol w:w="1006"/>
        <w:gridCol w:w="1285"/>
        <w:gridCol w:w="1244"/>
      </w:tblGrid>
      <w:tr w:rsidR="00A02CEF" w:rsidRPr="00A02CEF" w14:paraId="1D65C98D" w14:textId="77777777" w:rsidTr="00914B14">
        <w:trPr>
          <w:jc w:val="center"/>
        </w:trPr>
        <w:tc>
          <w:tcPr>
            <w:tcW w:w="1630" w:type="dxa"/>
            <w:vMerge w:val="restart"/>
            <w:shd w:val="clear" w:color="auto" w:fill="D9D9D9" w:themeFill="background1" w:themeFillShade="D9"/>
            <w:vAlign w:val="bottom"/>
            <w:hideMark/>
          </w:tcPr>
          <w:p w14:paraId="1099C562" w14:textId="62148E71" w:rsidR="00A02CEF" w:rsidRPr="00A02CEF" w:rsidRDefault="00A02CEF" w:rsidP="00C07777">
            <w:pPr>
              <w:spacing w:after="0"/>
              <w:jc w:val="both"/>
              <w:rPr>
                <w:rFonts w:ascii="Times New Roman" w:eastAsia="Times New Roman" w:hAnsi="Times New Roman" w:cs="Times New Roman"/>
                <w:sz w:val="18"/>
                <w:szCs w:val="18"/>
                <w:lang w:eastAsia="en-GB"/>
              </w:rPr>
            </w:pPr>
          </w:p>
        </w:tc>
        <w:tc>
          <w:tcPr>
            <w:tcW w:w="4318" w:type="dxa"/>
            <w:gridSpan w:val="4"/>
            <w:shd w:val="clear" w:color="auto" w:fill="D9D9D9" w:themeFill="background1" w:themeFillShade="D9"/>
            <w:vAlign w:val="center"/>
            <w:hideMark/>
          </w:tcPr>
          <w:p w14:paraId="76360289"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Total employment [jobs/year]</w:t>
            </w:r>
          </w:p>
        </w:tc>
        <w:tc>
          <w:tcPr>
            <w:tcW w:w="2529" w:type="dxa"/>
            <w:gridSpan w:val="2"/>
            <w:shd w:val="clear" w:color="auto" w:fill="D9D9D9" w:themeFill="background1" w:themeFillShade="D9"/>
            <w:vAlign w:val="center"/>
            <w:hideMark/>
          </w:tcPr>
          <w:p w14:paraId="110C3BFB"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Difference to BAU (jobs/year)</w:t>
            </w:r>
          </w:p>
        </w:tc>
      </w:tr>
      <w:tr w:rsidR="00A02CEF" w:rsidRPr="00A02CEF" w14:paraId="70B2B34C" w14:textId="77777777" w:rsidTr="00914B14">
        <w:trPr>
          <w:jc w:val="center"/>
        </w:trPr>
        <w:tc>
          <w:tcPr>
            <w:tcW w:w="1630" w:type="dxa"/>
            <w:vMerge/>
            <w:shd w:val="clear" w:color="auto" w:fill="D9D9D9" w:themeFill="background1" w:themeFillShade="D9"/>
            <w:vAlign w:val="bottom"/>
            <w:hideMark/>
          </w:tcPr>
          <w:p w14:paraId="64F1F6FE" w14:textId="77777777" w:rsidR="00A02CEF" w:rsidRPr="00A02CEF" w:rsidRDefault="00A02CEF" w:rsidP="00C07777">
            <w:pPr>
              <w:spacing w:after="0"/>
              <w:jc w:val="both"/>
              <w:rPr>
                <w:rFonts w:ascii="Times New Roman" w:eastAsia="Times New Roman" w:hAnsi="Times New Roman" w:cs="Times New Roman"/>
                <w:b/>
                <w:bCs/>
                <w:sz w:val="18"/>
                <w:szCs w:val="18"/>
                <w:lang w:eastAsia="en-GB"/>
              </w:rPr>
            </w:pPr>
          </w:p>
        </w:tc>
        <w:tc>
          <w:tcPr>
            <w:tcW w:w="1082" w:type="dxa"/>
            <w:shd w:val="clear" w:color="auto" w:fill="D9D9D9" w:themeFill="background1" w:themeFillShade="D9"/>
            <w:vAlign w:val="bottom"/>
            <w:hideMark/>
          </w:tcPr>
          <w:p w14:paraId="319D6722"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2020</w:t>
            </w:r>
          </w:p>
        </w:tc>
        <w:tc>
          <w:tcPr>
            <w:tcW w:w="1070" w:type="dxa"/>
            <w:shd w:val="clear" w:color="auto" w:fill="D9D9D9" w:themeFill="background1" w:themeFillShade="D9"/>
            <w:vAlign w:val="bottom"/>
            <w:hideMark/>
          </w:tcPr>
          <w:p w14:paraId="7E8A5CAA"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2025</w:t>
            </w:r>
          </w:p>
        </w:tc>
        <w:tc>
          <w:tcPr>
            <w:tcW w:w="1160" w:type="dxa"/>
            <w:shd w:val="clear" w:color="auto" w:fill="D9D9D9" w:themeFill="background1" w:themeFillShade="D9"/>
            <w:vAlign w:val="bottom"/>
            <w:hideMark/>
          </w:tcPr>
          <w:p w14:paraId="1D11D361"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2030</w:t>
            </w:r>
          </w:p>
        </w:tc>
        <w:tc>
          <w:tcPr>
            <w:tcW w:w="1006" w:type="dxa"/>
            <w:shd w:val="clear" w:color="auto" w:fill="D9D9D9" w:themeFill="background1" w:themeFillShade="D9"/>
            <w:vAlign w:val="bottom"/>
            <w:hideMark/>
          </w:tcPr>
          <w:p w14:paraId="4FE70030"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2040</w:t>
            </w:r>
          </w:p>
        </w:tc>
        <w:tc>
          <w:tcPr>
            <w:tcW w:w="1285" w:type="dxa"/>
            <w:shd w:val="clear" w:color="auto" w:fill="D9D9D9" w:themeFill="background1" w:themeFillShade="D9"/>
            <w:vAlign w:val="bottom"/>
            <w:hideMark/>
          </w:tcPr>
          <w:p w14:paraId="6BFF0402"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2030</w:t>
            </w:r>
          </w:p>
        </w:tc>
        <w:tc>
          <w:tcPr>
            <w:tcW w:w="1244" w:type="dxa"/>
            <w:shd w:val="clear" w:color="auto" w:fill="D9D9D9" w:themeFill="background1" w:themeFillShade="D9"/>
            <w:vAlign w:val="bottom"/>
            <w:hideMark/>
          </w:tcPr>
          <w:p w14:paraId="3149A103" w14:textId="77777777" w:rsidR="00A02CEF" w:rsidRPr="00A02CEF" w:rsidRDefault="00A02CEF" w:rsidP="00C07777">
            <w:pPr>
              <w:spacing w:after="0"/>
              <w:jc w:val="center"/>
              <w:rPr>
                <w:rFonts w:ascii="Times New Roman" w:eastAsia="Times New Roman" w:hAnsi="Times New Roman" w:cs="Times New Roman"/>
                <w:b/>
                <w:bCs/>
                <w:sz w:val="18"/>
                <w:szCs w:val="18"/>
                <w:lang w:eastAsia="en-GB"/>
              </w:rPr>
            </w:pPr>
            <w:r w:rsidRPr="00A02CEF">
              <w:rPr>
                <w:rFonts w:ascii="Times New Roman" w:eastAsia="Times New Roman" w:hAnsi="Times New Roman" w:cs="Times New Roman"/>
                <w:b/>
                <w:bCs/>
                <w:sz w:val="18"/>
                <w:szCs w:val="18"/>
                <w:lang w:eastAsia="en-GB"/>
              </w:rPr>
              <w:t>2040</w:t>
            </w:r>
          </w:p>
        </w:tc>
      </w:tr>
      <w:tr w:rsidR="00A02CEF" w:rsidRPr="00A02CEF" w14:paraId="71037C28" w14:textId="77777777" w:rsidTr="00914B14">
        <w:trPr>
          <w:jc w:val="center"/>
        </w:trPr>
        <w:tc>
          <w:tcPr>
            <w:tcW w:w="1630" w:type="dxa"/>
            <w:shd w:val="clear" w:color="auto" w:fill="auto"/>
            <w:vAlign w:val="center"/>
            <w:hideMark/>
          </w:tcPr>
          <w:p w14:paraId="12956831" w14:textId="77777777" w:rsidR="00A02CEF" w:rsidRPr="00A02CEF" w:rsidRDefault="00A02CEF" w:rsidP="00C07777">
            <w:pPr>
              <w:spacing w:after="0"/>
              <w:jc w:val="both"/>
              <w:rPr>
                <w:rFonts w:ascii="Times New Roman" w:eastAsia="Times New Roman" w:hAnsi="Times New Roman" w:cs="Times New Roman"/>
                <w:b/>
                <w:bCs/>
                <w:sz w:val="18"/>
                <w:szCs w:val="18"/>
                <w:lang w:eastAsia="en-GB"/>
              </w:rPr>
            </w:pPr>
            <w:r w:rsidRPr="00A02CEF">
              <w:rPr>
                <w:rFonts w:ascii="Times New Roman" w:hAnsi="Times New Roman" w:cs="Times New Roman"/>
                <w:b/>
                <w:bCs/>
                <w:sz w:val="18"/>
                <w:szCs w:val="18"/>
              </w:rPr>
              <w:t>BAU</w:t>
            </w:r>
          </w:p>
        </w:tc>
        <w:tc>
          <w:tcPr>
            <w:tcW w:w="1082" w:type="dxa"/>
            <w:shd w:val="clear" w:color="auto" w:fill="auto"/>
            <w:vAlign w:val="center"/>
            <w:hideMark/>
          </w:tcPr>
          <w:p w14:paraId="08CAE3C4" w14:textId="128A0250"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22</w:t>
            </w:r>
            <w:r w:rsidR="00E23E08">
              <w:rPr>
                <w:rFonts w:ascii="Times New Roman" w:hAnsi="Times New Roman" w:cs="Times New Roman"/>
                <w:color w:val="000000"/>
                <w:sz w:val="18"/>
                <w:szCs w:val="18"/>
              </w:rPr>
              <w:t>,</w:t>
            </w:r>
            <w:r w:rsidRPr="00A02CEF">
              <w:rPr>
                <w:rFonts w:ascii="Times New Roman" w:hAnsi="Times New Roman" w:cs="Times New Roman"/>
                <w:color w:val="000000"/>
                <w:sz w:val="18"/>
                <w:szCs w:val="18"/>
              </w:rPr>
              <w:t>023</w:t>
            </w:r>
          </w:p>
        </w:tc>
        <w:tc>
          <w:tcPr>
            <w:tcW w:w="1070" w:type="dxa"/>
            <w:shd w:val="clear" w:color="auto" w:fill="auto"/>
            <w:vAlign w:val="center"/>
            <w:hideMark/>
          </w:tcPr>
          <w:p w14:paraId="6A908003" w14:textId="4FFB5A4F"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22</w:t>
            </w:r>
            <w:r w:rsidR="00E23E08">
              <w:rPr>
                <w:rFonts w:ascii="Times New Roman" w:hAnsi="Times New Roman" w:cs="Times New Roman"/>
                <w:color w:val="000000"/>
                <w:sz w:val="18"/>
                <w:szCs w:val="18"/>
              </w:rPr>
              <w:t>,</w:t>
            </w:r>
            <w:r w:rsidRPr="00A02CEF">
              <w:rPr>
                <w:rFonts w:ascii="Times New Roman" w:hAnsi="Times New Roman" w:cs="Times New Roman"/>
                <w:color w:val="000000"/>
                <w:sz w:val="18"/>
                <w:szCs w:val="18"/>
              </w:rPr>
              <w:t>977</w:t>
            </w:r>
          </w:p>
        </w:tc>
        <w:tc>
          <w:tcPr>
            <w:tcW w:w="1160" w:type="dxa"/>
            <w:shd w:val="clear" w:color="auto" w:fill="auto"/>
            <w:vAlign w:val="center"/>
            <w:hideMark/>
          </w:tcPr>
          <w:p w14:paraId="448BDA91" w14:textId="1FF9C5D6"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23</w:t>
            </w:r>
            <w:r w:rsidR="00E23E08">
              <w:rPr>
                <w:rFonts w:ascii="Times New Roman" w:hAnsi="Times New Roman" w:cs="Times New Roman"/>
                <w:color w:val="000000"/>
                <w:sz w:val="18"/>
                <w:szCs w:val="18"/>
              </w:rPr>
              <w:t>,</w:t>
            </w:r>
            <w:r w:rsidRPr="00A02CEF">
              <w:rPr>
                <w:rFonts w:ascii="Times New Roman" w:hAnsi="Times New Roman" w:cs="Times New Roman"/>
                <w:color w:val="000000"/>
                <w:sz w:val="18"/>
                <w:szCs w:val="18"/>
              </w:rPr>
              <w:t>651</w:t>
            </w:r>
          </w:p>
        </w:tc>
        <w:tc>
          <w:tcPr>
            <w:tcW w:w="1006" w:type="dxa"/>
            <w:shd w:val="clear" w:color="auto" w:fill="auto"/>
            <w:vAlign w:val="center"/>
            <w:hideMark/>
          </w:tcPr>
          <w:p w14:paraId="444CC098" w14:textId="1C06B550"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24</w:t>
            </w:r>
            <w:r w:rsidR="00E23E08">
              <w:rPr>
                <w:rFonts w:ascii="Times New Roman" w:hAnsi="Times New Roman" w:cs="Times New Roman"/>
                <w:color w:val="000000"/>
                <w:sz w:val="18"/>
                <w:szCs w:val="18"/>
              </w:rPr>
              <w:t>,</w:t>
            </w:r>
            <w:r w:rsidRPr="00A02CEF">
              <w:rPr>
                <w:rFonts w:ascii="Times New Roman" w:hAnsi="Times New Roman" w:cs="Times New Roman"/>
                <w:color w:val="000000"/>
                <w:sz w:val="18"/>
                <w:szCs w:val="18"/>
              </w:rPr>
              <w:t>531</w:t>
            </w:r>
          </w:p>
        </w:tc>
        <w:tc>
          <w:tcPr>
            <w:tcW w:w="1285" w:type="dxa"/>
            <w:shd w:val="clear" w:color="auto" w:fill="auto"/>
            <w:vAlign w:val="center"/>
            <w:hideMark/>
          </w:tcPr>
          <w:p w14:paraId="4F8571D7" w14:textId="49A963FC"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p>
        </w:tc>
        <w:tc>
          <w:tcPr>
            <w:tcW w:w="1244" w:type="dxa"/>
            <w:shd w:val="clear" w:color="auto" w:fill="auto"/>
            <w:vAlign w:val="center"/>
            <w:hideMark/>
          </w:tcPr>
          <w:p w14:paraId="4D6D3127" w14:textId="026D99B6" w:rsidR="00A02CEF" w:rsidRPr="00A02CEF" w:rsidRDefault="00A02CEF" w:rsidP="00C07777">
            <w:pPr>
              <w:spacing w:after="0"/>
              <w:jc w:val="center"/>
              <w:rPr>
                <w:rFonts w:ascii="Times New Roman" w:eastAsia="Times New Roman" w:hAnsi="Times New Roman" w:cs="Times New Roman"/>
                <w:color w:val="000000"/>
                <w:sz w:val="18"/>
                <w:szCs w:val="18"/>
                <w:lang w:eastAsia="en-GB"/>
              </w:rPr>
            </w:pPr>
          </w:p>
        </w:tc>
      </w:tr>
      <w:tr w:rsidR="00E23E08" w:rsidRPr="00A02CEF" w14:paraId="52764CF2" w14:textId="77777777" w:rsidTr="00C30CDB">
        <w:trPr>
          <w:trHeight w:val="50"/>
          <w:jc w:val="center"/>
        </w:trPr>
        <w:tc>
          <w:tcPr>
            <w:tcW w:w="1630" w:type="dxa"/>
            <w:shd w:val="clear" w:color="auto" w:fill="auto"/>
            <w:vAlign w:val="center"/>
          </w:tcPr>
          <w:p w14:paraId="4C2844E2" w14:textId="52EE552E" w:rsidR="00E23E08" w:rsidRPr="00A02CEF" w:rsidRDefault="00E23E08" w:rsidP="00E23E08">
            <w:pPr>
              <w:spacing w:after="0"/>
              <w:jc w:val="both"/>
              <w:rPr>
                <w:rFonts w:ascii="Times New Roman" w:hAnsi="Times New Roman" w:cs="Times New Roman"/>
                <w:b/>
                <w:bCs/>
                <w:sz w:val="18"/>
                <w:szCs w:val="18"/>
              </w:rPr>
            </w:pPr>
            <w:r w:rsidRPr="00A02CEF">
              <w:rPr>
                <w:rFonts w:ascii="Times New Roman" w:hAnsi="Times New Roman" w:cs="Times New Roman"/>
                <w:b/>
                <w:bCs/>
                <w:sz w:val="18"/>
                <w:szCs w:val="18"/>
              </w:rPr>
              <w:t>PO2+PO3+PO4</w:t>
            </w:r>
          </w:p>
        </w:tc>
        <w:tc>
          <w:tcPr>
            <w:tcW w:w="1082" w:type="dxa"/>
            <w:shd w:val="clear" w:color="auto" w:fill="auto"/>
            <w:vAlign w:val="center"/>
          </w:tcPr>
          <w:p w14:paraId="3FE78065" w14:textId="5BCC8FFF" w:rsidR="00E23E08" w:rsidRPr="00A02CEF" w:rsidRDefault="00E23E08" w:rsidP="00E23E0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22,023</w:t>
            </w:r>
          </w:p>
        </w:tc>
        <w:tc>
          <w:tcPr>
            <w:tcW w:w="1070" w:type="dxa"/>
            <w:shd w:val="clear" w:color="auto" w:fill="auto"/>
            <w:vAlign w:val="center"/>
          </w:tcPr>
          <w:p w14:paraId="2F358AEB" w14:textId="7E86B7A1" w:rsidR="00E23E08" w:rsidRPr="00A02CEF" w:rsidRDefault="00E23E08" w:rsidP="00E23E08">
            <w:pPr>
              <w:spacing w:after="0"/>
              <w:jc w:val="center"/>
              <w:rPr>
                <w:rFonts w:ascii="Times New Roman" w:hAnsi="Times New Roman" w:cs="Times New Roman"/>
                <w:color w:val="000000"/>
                <w:sz w:val="18"/>
                <w:szCs w:val="18"/>
              </w:rPr>
            </w:pPr>
            <w:r w:rsidRPr="00A02CEF">
              <w:rPr>
                <w:rFonts w:ascii="Times New Roman" w:hAnsi="Times New Roman" w:cs="Times New Roman"/>
                <w:color w:val="000000"/>
                <w:sz w:val="18"/>
                <w:szCs w:val="18"/>
              </w:rPr>
              <w:t>23</w:t>
            </w:r>
            <w:r>
              <w:rPr>
                <w:rFonts w:ascii="Times New Roman" w:hAnsi="Times New Roman" w:cs="Times New Roman"/>
                <w:color w:val="000000"/>
                <w:sz w:val="18"/>
                <w:szCs w:val="18"/>
              </w:rPr>
              <w:t>,</w:t>
            </w:r>
            <w:r w:rsidRPr="00A02CEF">
              <w:rPr>
                <w:rFonts w:ascii="Times New Roman" w:hAnsi="Times New Roman" w:cs="Times New Roman"/>
                <w:color w:val="000000"/>
                <w:sz w:val="18"/>
                <w:szCs w:val="18"/>
              </w:rPr>
              <w:t>118</w:t>
            </w:r>
          </w:p>
        </w:tc>
        <w:tc>
          <w:tcPr>
            <w:tcW w:w="1160" w:type="dxa"/>
            <w:shd w:val="clear" w:color="auto" w:fill="auto"/>
            <w:vAlign w:val="center"/>
          </w:tcPr>
          <w:p w14:paraId="341F2640" w14:textId="6228D23B" w:rsidR="00E23E08" w:rsidRPr="00A02CEF" w:rsidRDefault="00E23E08" w:rsidP="00E23E0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24,691</w:t>
            </w:r>
          </w:p>
        </w:tc>
        <w:tc>
          <w:tcPr>
            <w:tcW w:w="1006" w:type="dxa"/>
            <w:shd w:val="clear" w:color="auto" w:fill="auto"/>
            <w:vAlign w:val="center"/>
          </w:tcPr>
          <w:p w14:paraId="2A0B26AA" w14:textId="42AADC15" w:rsidR="00E23E08" w:rsidRPr="00A02CEF" w:rsidRDefault="00E23E08" w:rsidP="00E23E0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18,681</w:t>
            </w:r>
          </w:p>
        </w:tc>
        <w:tc>
          <w:tcPr>
            <w:tcW w:w="1285" w:type="dxa"/>
            <w:shd w:val="clear" w:color="auto" w:fill="auto"/>
            <w:vAlign w:val="center"/>
          </w:tcPr>
          <w:p w14:paraId="08D71131" w14:textId="5FA5A0AF" w:rsidR="00E23E08" w:rsidRPr="00A02CEF" w:rsidRDefault="006C40FA" w:rsidP="00E23E0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E23E08">
              <w:rPr>
                <w:rFonts w:ascii="Times New Roman" w:hAnsi="Times New Roman" w:cs="Times New Roman"/>
                <w:color w:val="000000"/>
                <w:sz w:val="18"/>
                <w:szCs w:val="18"/>
              </w:rPr>
              <w:t>,</w:t>
            </w:r>
            <w:r>
              <w:rPr>
                <w:rFonts w:ascii="Times New Roman" w:hAnsi="Times New Roman" w:cs="Times New Roman"/>
                <w:color w:val="000000"/>
                <w:sz w:val="18"/>
                <w:szCs w:val="18"/>
              </w:rPr>
              <w:t>040</w:t>
            </w:r>
          </w:p>
        </w:tc>
        <w:tc>
          <w:tcPr>
            <w:tcW w:w="1244" w:type="dxa"/>
            <w:shd w:val="clear" w:color="auto" w:fill="auto"/>
            <w:vAlign w:val="center"/>
          </w:tcPr>
          <w:p w14:paraId="3DBB3894" w14:textId="5300F133" w:rsidR="00E23E08" w:rsidRPr="00A02CEF" w:rsidRDefault="00E23E08" w:rsidP="00E23E0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00C30CDB">
              <w:rPr>
                <w:rFonts w:ascii="Times New Roman" w:hAnsi="Times New Roman" w:cs="Times New Roman"/>
                <w:color w:val="000000"/>
                <w:sz w:val="18"/>
                <w:szCs w:val="18"/>
              </w:rPr>
              <w:t>5</w:t>
            </w:r>
            <w:r>
              <w:rPr>
                <w:rFonts w:ascii="Times New Roman" w:hAnsi="Times New Roman" w:cs="Times New Roman"/>
                <w:color w:val="000000"/>
                <w:sz w:val="18"/>
                <w:szCs w:val="18"/>
              </w:rPr>
              <w:t>,</w:t>
            </w:r>
            <w:r w:rsidR="00C30CDB">
              <w:rPr>
                <w:rFonts w:ascii="Times New Roman" w:hAnsi="Times New Roman" w:cs="Times New Roman"/>
                <w:color w:val="000000"/>
                <w:sz w:val="18"/>
                <w:szCs w:val="18"/>
              </w:rPr>
              <w:t>850</w:t>
            </w:r>
          </w:p>
        </w:tc>
      </w:tr>
      <w:tr w:rsidR="00E23E08" w:rsidRPr="00A02CEF" w14:paraId="3C4F385D" w14:textId="77777777" w:rsidTr="00914B14">
        <w:trPr>
          <w:jc w:val="center"/>
        </w:trPr>
        <w:tc>
          <w:tcPr>
            <w:tcW w:w="1630" w:type="dxa"/>
            <w:shd w:val="clear" w:color="auto" w:fill="auto"/>
            <w:vAlign w:val="center"/>
            <w:hideMark/>
          </w:tcPr>
          <w:p w14:paraId="2DBF0650" w14:textId="353900EB" w:rsidR="00E23E08" w:rsidRPr="00A02CEF" w:rsidRDefault="00E23E08" w:rsidP="00E23E08">
            <w:pPr>
              <w:spacing w:after="0"/>
              <w:jc w:val="both"/>
              <w:rPr>
                <w:rFonts w:ascii="Times New Roman" w:eastAsia="Times New Roman" w:hAnsi="Times New Roman" w:cs="Times New Roman"/>
                <w:b/>
                <w:bCs/>
                <w:sz w:val="18"/>
                <w:szCs w:val="18"/>
                <w:lang w:eastAsia="en-GB"/>
              </w:rPr>
            </w:pPr>
            <w:r w:rsidRPr="00A02CEF">
              <w:rPr>
                <w:rFonts w:ascii="Times New Roman" w:hAnsi="Times New Roman" w:cs="Times New Roman"/>
                <w:b/>
                <w:bCs/>
                <w:sz w:val="18"/>
                <w:szCs w:val="18"/>
              </w:rPr>
              <w:t>PO2+PO3+PO4</w:t>
            </w:r>
            <w:r>
              <w:rPr>
                <w:rFonts w:ascii="Times New Roman" w:hAnsi="Times New Roman" w:cs="Times New Roman"/>
                <w:b/>
                <w:bCs/>
                <w:sz w:val="18"/>
                <w:szCs w:val="18"/>
              </w:rPr>
              <w:t>u</w:t>
            </w:r>
          </w:p>
        </w:tc>
        <w:tc>
          <w:tcPr>
            <w:tcW w:w="1082" w:type="dxa"/>
            <w:shd w:val="clear" w:color="auto" w:fill="auto"/>
            <w:vAlign w:val="center"/>
            <w:hideMark/>
          </w:tcPr>
          <w:p w14:paraId="1462079A" w14:textId="5E2F2EFA" w:rsidR="00E23E08" w:rsidRPr="00A02CEF" w:rsidRDefault="00E23E08" w:rsidP="00E23E08">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22</w:t>
            </w:r>
            <w:r>
              <w:rPr>
                <w:rFonts w:ascii="Times New Roman" w:hAnsi="Times New Roman" w:cs="Times New Roman"/>
                <w:color w:val="000000"/>
                <w:sz w:val="18"/>
                <w:szCs w:val="18"/>
              </w:rPr>
              <w:t>,</w:t>
            </w:r>
            <w:r w:rsidRPr="00A02CEF">
              <w:rPr>
                <w:rFonts w:ascii="Times New Roman" w:hAnsi="Times New Roman" w:cs="Times New Roman"/>
                <w:color w:val="000000"/>
                <w:sz w:val="18"/>
                <w:szCs w:val="18"/>
              </w:rPr>
              <w:t>023</w:t>
            </w:r>
          </w:p>
        </w:tc>
        <w:tc>
          <w:tcPr>
            <w:tcW w:w="1070" w:type="dxa"/>
            <w:shd w:val="clear" w:color="auto" w:fill="auto"/>
            <w:vAlign w:val="center"/>
            <w:hideMark/>
          </w:tcPr>
          <w:p w14:paraId="0FCA5EF0" w14:textId="1C353F82" w:rsidR="00E23E08" w:rsidRPr="00A02CEF" w:rsidRDefault="00E23E08" w:rsidP="00E23E08">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23</w:t>
            </w:r>
            <w:r>
              <w:rPr>
                <w:rFonts w:ascii="Times New Roman" w:hAnsi="Times New Roman" w:cs="Times New Roman"/>
                <w:color w:val="000000"/>
                <w:sz w:val="18"/>
                <w:szCs w:val="18"/>
              </w:rPr>
              <w:t>,</w:t>
            </w:r>
            <w:r w:rsidR="007A799F">
              <w:rPr>
                <w:rFonts w:ascii="Times New Roman" w:hAnsi="Times New Roman" w:cs="Times New Roman"/>
                <w:color w:val="000000"/>
                <w:sz w:val="18"/>
                <w:szCs w:val="18"/>
              </w:rPr>
              <w:t>118</w:t>
            </w:r>
          </w:p>
        </w:tc>
        <w:tc>
          <w:tcPr>
            <w:tcW w:w="1160" w:type="dxa"/>
            <w:shd w:val="clear" w:color="auto" w:fill="auto"/>
            <w:vAlign w:val="center"/>
            <w:hideMark/>
          </w:tcPr>
          <w:p w14:paraId="61A8D54F" w14:textId="7CD5E47F" w:rsidR="00E23E08" w:rsidRPr="00A02CEF" w:rsidRDefault="00E23E08" w:rsidP="00E23E08">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24</w:t>
            </w:r>
            <w:r>
              <w:rPr>
                <w:rFonts w:ascii="Times New Roman" w:hAnsi="Times New Roman" w:cs="Times New Roman"/>
                <w:color w:val="000000"/>
                <w:sz w:val="18"/>
                <w:szCs w:val="18"/>
              </w:rPr>
              <w:t>,742</w:t>
            </w:r>
          </w:p>
        </w:tc>
        <w:tc>
          <w:tcPr>
            <w:tcW w:w="1006" w:type="dxa"/>
            <w:shd w:val="clear" w:color="auto" w:fill="auto"/>
            <w:vAlign w:val="center"/>
            <w:hideMark/>
          </w:tcPr>
          <w:p w14:paraId="250C136A" w14:textId="4F5A1927" w:rsidR="00E23E08" w:rsidRPr="00A02CEF" w:rsidRDefault="00E23E08" w:rsidP="00E23E08">
            <w:pPr>
              <w:spacing w:after="0"/>
              <w:jc w:val="center"/>
              <w:rPr>
                <w:rFonts w:ascii="Times New Roman" w:eastAsia="Times New Roman" w:hAnsi="Times New Roman" w:cs="Times New Roman"/>
                <w:color w:val="000000"/>
                <w:sz w:val="18"/>
                <w:szCs w:val="18"/>
                <w:lang w:eastAsia="en-GB"/>
              </w:rPr>
            </w:pPr>
            <w:r w:rsidRPr="00A02CEF">
              <w:rPr>
                <w:rFonts w:ascii="Times New Roman" w:hAnsi="Times New Roman" w:cs="Times New Roman"/>
                <w:color w:val="000000"/>
                <w:sz w:val="18"/>
                <w:szCs w:val="18"/>
              </w:rPr>
              <w:t>18</w:t>
            </w:r>
            <w:r>
              <w:rPr>
                <w:rFonts w:ascii="Times New Roman" w:hAnsi="Times New Roman" w:cs="Times New Roman"/>
                <w:color w:val="000000"/>
                <w:sz w:val="18"/>
                <w:szCs w:val="18"/>
              </w:rPr>
              <w:t>,861</w:t>
            </w:r>
          </w:p>
        </w:tc>
        <w:tc>
          <w:tcPr>
            <w:tcW w:w="1285" w:type="dxa"/>
            <w:shd w:val="clear" w:color="auto" w:fill="auto"/>
            <w:vAlign w:val="center"/>
            <w:hideMark/>
          </w:tcPr>
          <w:p w14:paraId="5B518992" w14:textId="60938252" w:rsidR="00E23E08" w:rsidRPr="00A02CEF" w:rsidRDefault="006C40FA" w:rsidP="00E23E08">
            <w:pPr>
              <w:spacing w:after="0"/>
              <w:jc w:val="center"/>
              <w:rPr>
                <w:rFonts w:ascii="Times New Roman" w:eastAsia="Times New Roman" w:hAnsi="Times New Roman" w:cs="Times New Roman"/>
                <w:sz w:val="18"/>
                <w:szCs w:val="18"/>
                <w:lang w:eastAsia="en-GB"/>
              </w:rPr>
            </w:pPr>
            <w:r>
              <w:rPr>
                <w:rFonts w:ascii="Times New Roman" w:hAnsi="Times New Roman" w:cs="Times New Roman"/>
                <w:sz w:val="18"/>
                <w:szCs w:val="18"/>
              </w:rPr>
              <w:t>1</w:t>
            </w:r>
            <w:r w:rsidR="00E23E08">
              <w:rPr>
                <w:rFonts w:ascii="Times New Roman" w:hAnsi="Times New Roman" w:cs="Times New Roman"/>
                <w:sz w:val="18"/>
                <w:szCs w:val="18"/>
              </w:rPr>
              <w:t>,</w:t>
            </w:r>
            <w:r>
              <w:rPr>
                <w:rFonts w:ascii="Times New Roman" w:hAnsi="Times New Roman" w:cs="Times New Roman"/>
                <w:sz w:val="18"/>
                <w:szCs w:val="18"/>
              </w:rPr>
              <w:t>091</w:t>
            </w:r>
          </w:p>
        </w:tc>
        <w:tc>
          <w:tcPr>
            <w:tcW w:w="1244" w:type="dxa"/>
            <w:shd w:val="clear" w:color="auto" w:fill="auto"/>
            <w:vAlign w:val="center"/>
            <w:hideMark/>
          </w:tcPr>
          <w:p w14:paraId="62178B7D" w14:textId="67EE347E" w:rsidR="00E23E08" w:rsidRPr="00A02CEF" w:rsidRDefault="00E23E08" w:rsidP="00E23E08">
            <w:pPr>
              <w:spacing w:after="0"/>
              <w:jc w:val="center"/>
              <w:rPr>
                <w:rFonts w:ascii="Times New Roman" w:eastAsia="Times New Roman" w:hAnsi="Times New Roman" w:cs="Times New Roman"/>
                <w:sz w:val="18"/>
                <w:szCs w:val="18"/>
                <w:lang w:eastAsia="en-GB"/>
              </w:rPr>
            </w:pPr>
            <w:r w:rsidRPr="00A02CEF">
              <w:rPr>
                <w:rFonts w:ascii="Times New Roman" w:hAnsi="Times New Roman" w:cs="Times New Roman"/>
                <w:sz w:val="18"/>
                <w:szCs w:val="18"/>
              </w:rPr>
              <w:t>-</w:t>
            </w:r>
            <w:r w:rsidR="00C30CDB">
              <w:rPr>
                <w:rFonts w:ascii="Times New Roman" w:hAnsi="Times New Roman" w:cs="Times New Roman"/>
                <w:sz w:val="18"/>
                <w:szCs w:val="18"/>
              </w:rPr>
              <w:t>5</w:t>
            </w:r>
            <w:r>
              <w:rPr>
                <w:rFonts w:ascii="Times New Roman" w:hAnsi="Times New Roman" w:cs="Times New Roman"/>
                <w:sz w:val="18"/>
                <w:szCs w:val="18"/>
              </w:rPr>
              <w:t>,</w:t>
            </w:r>
            <w:r w:rsidR="00C30CDB">
              <w:rPr>
                <w:rFonts w:ascii="Times New Roman" w:hAnsi="Times New Roman" w:cs="Times New Roman"/>
                <w:sz w:val="18"/>
                <w:szCs w:val="18"/>
              </w:rPr>
              <w:t>670</w:t>
            </w:r>
          </w:p>
        </w:tc>
      </w:tr>
      <w:tr w:rsidR="00E23E08" w:rsidRPr="00A02CEF" w14:paraId="3E052B3A" w14:textId="77777777" w:rsidTr="00914B14">
        <w:trPr>
          <w:jc w:val="center"/>
        </w:trPr>
        <w:tc>
          <w:tcPr>
            <w:tcW w:w="1630" w:type="dxa"/>
            <w:shd w:val="clear" w:color="auto" w:fill="auto"/>
            <w:vAlign w:val="center"/>
          </w:tcPr>
          <w:p w14:paraId="46322E96" w14:textId="77777777" w:rsidR="00E23E08" w:rsidRPr="00A02CEF" w:rsidRDefault="00E23E08" w:rsidP="00E23E08">
            <w:pPr>
              <w:spacing w:after="0"/>
              <w:jc w:val="both"/>
              <w:rPr>
                <w:rFonts w:ascii="Times New Roman" w:hAnsi="Times New Roman" w:cs="Times New Roman"/>
                <w:b/>
                <w:bCs/>
                <w:sz w:val="18"/>
                <w:szCs w:val="18"/>
              </w:rPr>
            </w:pPr>
            <w:r w:rsidRPr="00A02CEF">
              <w:rPr>
                <w:rFonts w:ascii="Times New Roman" w:hAnsi="Times New Roman" w:cs="Times New Roman"/>
                <w:b/>
                <w:bCs/>
                <w:sz w:val="18"/>
                <w:szCs w:val="18"/>
              </w:rPr>
              <w:lastRenderedPageBreak/>
              <w:t>Out of which in the repair sector</w:t>
            </w:r>
          </w:p>
        </w:tc>
        <w:tc>
          <w:tcPr>
            <w:tcW w:w="1082" w:type="dxa"/>
            <w:shd w:val="clear" w:color="auto" w:fill="auto"/>
            <w:vAlign w:val="center"/>
          </w:tcPr>
          <w:p w14:paraId="0E32126D" w14:textId="7BDD6E93" w:rsidR="00E23E08" w:rsidRPr="00A02CEF" w:rsidRDefault="00E23E08" w:rsidP="00E23E08">
            <w:pPr>
              <w:spacing w:after="0"/>
              <w:jc w:val="center"/>
              <w:rPr>
                <w:rFonts w:ascii="Times New Roman" w:hAnsi="Times New Roman" w:cs="Times New Roman"/>
                <w:color w:val="000000"/>
                <w:sz w:val="18"/>
                <w:szCs w:val="18"/>
              </w:rPr>
            </w:pPr>
            <w:r w:rsidRPr="00A02CEF">
              <w:rPr>
                <w:rFonts w:ascii="Times New Roman" w:hAnsi="Times New Roman" w:cs="Times New Roman"/>
                <w:color w:val="000000"/>
                <w:sz w:val="18"/>
                <w:szCs w:val="18"/>
              </w:rPr>
              <w:t>1</w:t>
            </w:r>
            <w:r w:rsidR="009C61A5">
              <w:rPr>
                <w:rFonts w:ascii="Times New Roman" w:hAnsi="Times New Roman" w:cs="Times New Roman"/>
                <w:color w:val="000000"/>
                <w:sz w:val="18"/>
                <w:szCs w:val="18"/>
              </w:rPr>
              <w:t>,</w:t>
            </w:r>
            <w:r w:rsidRPr="00A02CEF">
              <w:rPr>
                <w:rFonts w:ascii="Times New Roman" w:hAnsi="Times New Roman" w:cs="Times New Roman"/>
                <w:color w:val="000000"/>
                <w:sz w:val="18"/>
                <w:szCs w:val="18"/>
              </w:rPr>
              <w:t>602</w:t>
            </w:r>
          </w:p>
        </w:tc>
        <w:tc>
          <w:tcPr>
            <w:tcW w:w="1070" w:type="dxa"/>
            <w:shd w:val="clear" w:color="auto" w:fill="auto"/>
            <w:vAlign w:val="center"/>
          </w:tcPr>
          <w:p w14:paraId="31F9A296" w14:textId="7535A96E" w:rsidR="00E23E08" w:rsidRPr="00A02CEF" w:rsidRDefault="00E23E08" w:rsidP="00E23E08">
            <w:pPr>
              <w:spacing w:after="0"/>
              <w:jc w:val="center"/>
              <w:rPr>
                <w:rFonts w:ascii="Times New Roman" w:hAnsi="Times New Roman" w:cs="Times New Roman"/>
                <w:color w:val="000000"/>
                <w:sz w:val="18"/>
                <w:szCs w:val="18"/>
              </w:rPr>
            </w:pPr>
            <w:r w:rsidRPr="00A02CEF">
              <w:rPr>
                <w:rFonts w:ascii="Times New Roman" w:hAnsi="Times New Roman" w:cs="Times New Roman"/>
                <w:color w:val="000000"/>
                <w:sz w:val="18"/>
                <w:szCs w:val="18"/>
              </w:rPr>
              <w:t>1</w:t>
            </w:r>
            <w:r w:rsidR="009C61A5">
              <w:rPr>
                <w:rFonts w:ascii="Times New Roman" w:hAnsi="Times New Roman" w:cs="Times New Roman"/>
                <w:color w:val="000000"/>
                <w:sz w:val="18"/>
                <w:szCs w:val="18"/>
              </w:rPr>
              <w:t>,</w:t>
            </w:r>
            <w:r w:rsidRPr="00A02CEF">
              <w:rPr>
                <w:rFonts w:ascii="Times New Roman" w:hAnsi="Times New Roman" w:cs="Times New Roman"/>
                <w:color w:val="000000"/>
                <w:sz w:val="18"/>
                <w:szCs w:val="18"/>
              </w:rPr>
              <w:t>906</w:t>
            </w:r>
          </w:p>
        </w:tc>
        <w:tc>
          <w:tcPr>
            <w:tcW w:w="1160" w:type="dxa"/>
            <w:shd w:val="clear" w:color="auto" w:fill="auto"/>
            <w:vAlign w:val="center"/>
          </w:tcPr>
          <w:p w14:paraId="50DF16CE" w14:textId="1259CB86" w:rsidR="00E23E08" w:rsidRPr="00A02CEF" w:rsidRDefault="00E23E08" w:rsidP="00E23E08">
            <w:pPr>
              <w:spacing w:after="0"/>
              <w:jc w:val="center"/>
              <w:rPr>
                <w:rFonts w:ascii="Times New Roman" w:hAnsi="Times New Roman" w:cs="Times New Roman"/>
                <w:color w:val="000000"/>
                <w:sz w:val="18"/>
                <w:szCs w:val="18"/>
              </w:rPr>
            </w:pPr>
            <w:r w:rsidRPr="00A02CEF">
              <w:rPr>
                <w:rFonts w:ascii="Times New Roman" w:hAnsi="Times New Roman" w:cs="Times New Roman"/>
                <w:color w:val="000000"/>
                <w:sz w:val="18"/>
                <w:szCs w:val="18"/>
              </w:rPr>
              <w:t>2</w:t>
            </w:r>
            <w:r w:rsidR="009C61A5">
              <w:rPr>
                <w:rFonts w:ascii="Times New Roman" w:hAnsi="Times New Roman" w:cs="Times New Roman"/>
                <w:color w:val="000000"/>
                <w:sz w:val="18"/>
                <w:szCs w:val="18"/>
              </w:rPr>
              <w:t>,</w:t>
            </w:r>
            <w:r w:rsidRPr="00A02CEF">
              <w:rPr>
                <w:rFonts w:ascii="Times New Roman" w:hAnsi="Times New Roman" w:cs="Times New Roman"/>
                <w:color w:val="000000"/>
                <w:sz w:val="18"/>
                <w:szCs w:val="18"/>
              </w:rPr>
              <w:t>594</w:t>
            </w:r>
          </w:p>
        </w:tc>
        <w:tc>
          <w:tcPr>
            <w:tcW w:w="1006" w:type="dxa"/>
            <w:shd w:val="clear" w:color="auto" w:fill="auto"/>
            <w:vAlign w:val="center"/>
          </w:tcPr>
          <w:p w14:paraId="197AAD29" w14:textId="7CD6F204" w:rsidR="00E23E08" w:rsidRPr="00A02CEF" w:rsidRDefault="00E23E08" w:rsidP="00E23E08">
            <w:pPr>
              <w:spacing w:after="0"/>
              <w:jc w:val="center"/>
              <w:rPr>
                <w:rFonts w:ascii="Times New Roman" w:hAnsi="Times New Roman" w:cs="Times New Roman"/>
                <w:color w:val="000000"/>
                <w:sz w:val="18"/>
                <w:szCs w:val="18"/>
              </w:rPr>
            </w:pPr>
            <w:r w:rsidRPr="00A02CEF">
              <w:rPr>
                <w:rFonts w:ascii="Times New Roman" w:hAnsi="Times New Roman" w:cs="Times New Roman"/>
                <w:color w:val="000000"/>
                <w:sz w:val="18"/>
                <w:szCs w:val="18"/>
              </w:rPr>
              <w:t>3</w:t>
            </w:r>
            <w:r w:rsidR="009C61A5">
              <w:rPr>
                <w:rFonts w:ascii="Times New Roman" w:hAnsi="Times New Roman" w:cs="Times New Roman"/>
                <w:color w:val="000000"/>
                <w:sz w:val="18"/>
                <w:szCs w:val="18"/>
              </w:rPr>
              <w:t>,</w:t>
            </w:r>
            <w:r w:rsidRPr="00A02CEF">
              <w:rPr>
                <w:rFonts w:ascii="Times New Roman" w:hAnsi="Times New Roman" w:cs="Times New Roman"/>
                <w:color w:val="000000"/>
                <w:sz w:val="18"/>
                <w:szCs w:val="18"/>
              </w:rPr>
              <w:t>680</w:t>
            </w:r>
          </w:p>
        </w:tc>
        <w:tc>
          <w:tcPr>
            <w:tcW w:w="1285" w:type="dxa"/>
            <w:shd w:val="clear" w:color="auto" w:fill="auto"/>
            <w:vAlign w:val="center"/>
          </w:tcPr>
          <w:p w14:paraId="1251CCF2" w14:textId="77777777" w:rsidR="00E23E08" w:rsidRPr="00A02CEF" w:rsidRDefault="00E23E08" w:rsidP="00E23E08">
            <w:pPr>
              <w:spacing w:after="0"/>
              <w:jc w:val="center"/>
              <w:rPr>
                <w:rFonts w:ascii="Times New Roman" w:hAnsi="Times New Roman" w:cs="Times New Roman"/>
                <w:sz w:val="18"/>
                <w:szCs w:val="18"/>
              </w:rPr>
            </w:pPr>
            <w:r w:rsidRPr="00A02CEF">
              <w:rPr>
                <w:rFonts w:ascii="Times New Roman" w:hAnsi="Times New Roman" w:cs="Times New Roman"/>
                <w:sz w:val="18"/>
                <w:szCs w:val="18"/>
              </w:rPr>
              <w:t>439</w:t>
            </w:r>
          </w:p>
        </w:tc>
        <w:tc>
          <w:tcPr>
            <w:tcW w:w="1244" w:type="dxa"/>
            <w:shd w:val="clear" w:color="auto" w:fill="auto"/>
            <w:vAlign w:val="center"/>
          </w:tcPr>
          <w:p w14:paraId="67302B97" w14:textId="394E5DC7" w:rsidR="00E23E08" w:rsidRPr="00A02CEF" w:rsidRDefault="00E23E08" w:rsidP="00E23E08">
            <w:pPr>
              <w:spacing w:after="0"/>
              <w:jc w:val="center"/>
              <w:rPr>
                <w:rFonts w:ascii="Times New Roman" w:hAnsi="Times New Roman" w:cs="Times New Roman"/>
                <w:sz w:val="18"/>
                <w:szCs w:val="18"/>
              </w:rPr>
            </w:pPr>
            <w:r w:rsidRPr="00A02CEF">
              <w:rPr>
                <w:rFonts w:ascii="Times New Roman" w:hAnsi="Times New Roman" w:cs="Times New Roman"/>
                <w:sz w:val="18"/>
                <w:szCs w:val="18"/>
              </w:rPr>
              <w:t>1</w:t>
            </w:r>
            <w:r w:rsidR="009C61A5">
              <w:rPr>
                <w:rFonts w:ascii="Times New Roman" w:hAnsi="Times New Roman" w:cs="Times New Roman"/>
                <w:sz w:val="18"/>
                <w:szCs w:val="18"/>
              </w:rPr>
              <w:t>,</w:t>
            </w:r>
            <w:r w:rsidRPr="00A02CEF">
              <w:rPr>
                <w:rFonts w:ascii="Times New Roman" w:hAnsi="Times New Roman" w:cs="Times New Roman"/>
                <w:sz w:val="18"/>
                <w:szCs w:val="18"/>
              </w:rPr>
              <w:t>337</w:t>
            </w:r>
          </w:p>
        </w:tc>
      </w:tr>
    </w:tbl>
    <w:p w14:paraId="4017FF49" w14:textId="52ABBEE4" w:rsidR="00486ADF" w:rsidRPr="00486ADF" w:rsidRDefault="00486ADF" w:rsidP="00486ADF">
      <w:pPr>
        <w:jc w:val="both"/>
        <w:rPr>
          <w:rFonts w:ascii="Times New Roman" w:hAnsi="Times New Roman" w:cs="Times New Roman"/>
          <w:sz w:val="24"/>
          <w:szCs w:val="24"/>
        </w:rPr>
      </w:pPr>
      <w:r w:rsidRPr="00486ADF">
        <w:rPr>
          <w:rFonts w:ascii="Times New Roman" w:hAnsi="Times New Roman" w:cs="Times New Roman"/>
          <w:i/>
          <w:sz w:val="20"/>
          <w:szCs w:val="20"/>
        </w:rPr>
        <w:t xml:space="preserve">Table 3. </w:t>
      </w:r>
      <w:r>
        <w:rPr>
          <w:rFonts w:ascii="Times New Roman" w:hAnsi="Times New Roman" w:cs="Times New Roman"/>
          <w:i/>
          <w:sz w:val="20"/>
          <w:szCs w:val="20"/>
        </w:rPr>
        <w:t xml:space="preserve">EU </w:t>
      </w:r>
      <w:r w:rsidRPr="00486ADF">
        <w:rPr>
          <w:rFonts w:ascii="Times New Roman" w:hAnsi="Times New Roman" w:cs="Times New Roman"/>
          <w:i/>
          <w:sz w:val="20"/>
          <w:szCs w:val="20"/>
        </w:rPr>
        <w:t>Employment (manufacturers + retailers) for BAU</w:t>
      </w:r>
      <w:r w:rsidR="00CC7E23">
        <w:rPr>
          <w:rFonts w:ascii="Times New Roman" w:hAnsi="Times New Roman" w:cs="Times New Roman"/>
          <w:i/>
          <w:sz w:val="20"/>
          <w:szCs w:val="20"/>
        </w:rPr>
        <w:t>,</w:t>
      </w:r>
      <w:r w:rsidRPr="00486ADF">
        <w:rPr>
          <w:rFonts w:ascii="Times New Roman" w:hAnsi="Times New Roman" w:cs="Times New Roman"/>
          <w:i/>
          <w:sz w:val="20"/>
          <w:szCs w:val="20"/>
        </w:rPr>
        <w:t xml:space="preserve"> PO2+PO3+PO4 and PO2+PO3+PO4</w:t>
      </w:r>
      <w:r w:rsidR="00CC7E23">
        <w:rPr>
          <w:rFonts w:ascii="Times New Roman" w:hAnsi="Times New Roman" w:cs="Times New Roman"/>
          <w:i/>
          <w:sz w:val="20"/>
          <w:szCs w:val="20"/>
        </w:rPr>
        <w:t>u</w:t>
      </w:r>
    </w:p>
    <w:p w14:paraId="634A2201" w14:textId="5A543543" w:rsidR="00D4180B" w:rsidRPr="00F92EAE" w:rsidRDefault="00D4180B" w:rsidP="00D4180B">
      <w:pPr>
        <w:pStyle w:val="Heading1"/>
      </w:pPr>
      <w:r>
        <w:t>Input from stakeholders</w:t>
      </w:r>
    </w:p>
    <w:p w14:paraId="7DAAA915" w14:textId="27B89507" w:rsidR="00CC1BEC" w:rsidRDefault="009D1768" w:rsidP="00D4180B">
      <w:pPr>
        <w:jc w:val="both"/>
        <w:rPr>
          <w:rFonts w:ascii="Times New Roman" w:hAnsi="Times New Roman" w:cs="Times New Roman"/>
          <w:sz w:val="24"/>
          <w:szCs w:val="24"/>
        </w:rPr>
      </w:pPr>
      <w:r>
        <w:rPr>
          <w:rFonts w:ascii="Times New Roman" w:hAnsi="Times New Roman" w:cs="Times New Roman"/>
          <w:sz w:val="24"/>
          <w:szCs w:val="24"/>
        </w:rPr>
        <w:t xml:space="preserve">As explained in section 5.3, </w:t>
      </w:r>
      <w:r w:rsidR="00E66829">
        <w:rPr>
          <w:rFonts w:ascii="Times New Roman" w:hAnsi="Times New Roman" w:cs="Times New Roman"/>
          <w:sz w:val="24"/>
          <w:szCs w:val="24"/>
        </w:rPr>
        <w:t xml:space="preserve">APPLiA proposed a list of spare parts based on the </w:t>
      </w:r>
      <w:r>
        <w:rPr>
          <w:rFonts w:ascii="Times New Roman" w:hAnsi="Times New Roman" w:cs="Times New Roman"/>
          <w:sz w:val="24"/>
          <w:szCs w:val="24"/>
        </w:rPr>
        <w:t>sales volume</w:t>
      </w:r>
      <w:r w:rsidR="00E66829">
        <w:rPr>
          <w:rFonts w:ascii="Times New Roman" w:hAnsi="Times New Roman" w:cs="Times New Roman"/>
          <w:sz w:val="24"/>
          <w:szCs w:val="24"/>
        </w:rPr>
        <w:t xml:space="preserve"> and failure rate of those parts. </w:t>
      </w:r>
      <w:r>
        <w:rPr>
          <w:rFonts w:ascii="Times New Roman" w:hAnsi="Times New Roman" w:cs="Times New Roman"/>
          <w:sz w:val="24"/>
          <w:szCs w:val="24"/>
        </w:rPr>
        <w:t xml:space="preserve">That list, </w:t>
      </w:r>
      <w:r w:rsidR="00CD117C">
        <w:rPr>
          <w:rFonts w:ascii="Times New Roman" w:hAnsi="Times New Roman" w:cs="Times New Roman"/>
          <w:sz w:val="24"/>
          <w:szCs w:val="24"/>
        </w:rPr>
        <w:t xml:space="preserve">the resulting formula for the calculation of the repairability score, along with the impacts of the repairability score as shown in section 6, have </w:t>
      </w:r>
      <w:r w:rsidR="007F0CC0">
        <w:rPr>
          <w:rFonts w:ascii="Times New Roman" w:hAnsi="Times New Roman" w:cs="Times New Roman"/>
          <w:sz w:val="24"/>
          <w:szCs w:val="24"/>
        </w:rPr>
        <w:t xml:space="preserve">been </w:t>
      </w:r>
      <w:r w:rsidR="00435209">
        <w:rPr>
          <w:rFonts w:ascii="Times New Roman" w:hAnsi="Times New Roman" w:cs="Times New Roman"/>
          <w:sz w:val="24"/>
          <w:szCs w:val="24"/>
        </w:rPr>
        <w:t xml:space="preserve">discussed </w:t>
      </w:r>
      <w:r w:rsidR="007F0CC0">
        <w:rPr>
          <w:rFonts w:ascii="Times New Roman" w:hAnsi="Times New Roman" w:cs="Times New Roman"/>
          <w:sz w:val="24"/>
          <w:szCs w:val="24"/>
        </w:rPr>
        <w:t>with stakeholders</w:t>
      </w:r>
      <w:r w:rsidR="00CD117C">
        <w:rPr>
          <w:rFonts w:ascii="Times New Roman" w:hAnsi="Times New Roman" w:cs="Times New Roman"/>
          <w:sz w:val="24"/>
          <w:szCs w:val="24"/>
        </w:rPr>
        <w:t xml:space="preserve"> at the Consultation Forum on 11 March 2024</w:t>
      </w:r>
      <w:r w:rsidR="007F0CC0">
        <w:rPr>
          <w:rFonts w:ascii="Times New Roman" w:hAnsi="Times New Roman" w:cs="Times New Roman"/>
          <w:sz w:val="24"/>
          <w:szCs w:val="24"/>
        </w:rPr>
        <w:t xml:space="preserve">. </w:t>
      </w:r>
      <w:r w:rsidR="00CD117C">
        <w:rPr>
          <w:rFonts w:ascii="Times New Roman" w:hAnsi="Times New Roman" w:cs="Times New Roman"/>
          <w:sz w:val="24"/>
          <w:szCs w:val="24"/>
        </w:rPr>
        <w:t xml:space="preserve">At that meeting, </w:t>
      </w:r>
      <w:r w:rsidR="00435209">
        <w:rPr>
          <w:rFonts w:ascii="Times New Roman" w:hAnsi="Times New Roman" w:cs="Times New Roman"/>
          <w:sz w:val="24"/>
          <w:szCs w:val="24"/>
        </w:rPr>
        <w:t xml:space="preserve">the Commission gave a detailed explanation of the main assumptions for the assessment of the impacts and the corresponding results and discussed all the relevant aspects with stakeholders. </w:t>
      </w:r>
    </w:p>
    <w:p w14:paraId="2477FB6B" w14:textId="260F5D0C" w:rsidR="00D4180B" w:rsidRDefault="00CD117C" w:rsidP="00D4180B">
      <w:pPr>
        <w:jc w:val="both"/>
        <w:rPr>
          <w:rFonts w:ascii="Times New Roman" w:hAnsi="Times New Roman" w:cs="Times New Roman"/>
          <w:sz w:val="24"/>
          <w:szCs w:val="24"/>
        </w:rPr>
      </w:pPr>
      <w:r>
        <w:rPr>
          <w:rFonts w:ascii="Times New Roman" w:hAnsi="Times New Roman" w:cs="Times New Roman"/>
          <w:sz w:val="24"/>
          <w:szCs w:val="24"/>
        </w:rPr>
        <w:t xml:space="preserve">Stakeholders expressed the following: </w:t>
      </w:r>
    </w:p>
    <w:p w14:paraId="0F555310" w14:textId="42EE2E6C" w:rsidR="009D1768" w:rsidRPr="00F92EAE" w:rsidRDefault="009D1768" w:rsidP="009D1768">
      <w:pPr>
        <w:pStyle w:val="Heading1"/>
      </w:pPr>
      <w:r>
        <w:t>Conclusions</w:t>
      </w:r>
    </w:p>
    <w:p w14:paraId="6EAAC297" w14:textId="47552C29" w:rsidR="009D1768" w:rsidRPr="00D4180B" w:rsidRDefault="009D1768" w:rsidP="00D4180B">
      <w:pPr>
        <w:jc w:val="both"/>
        <w:rPr>
          <w:rFonts w:ascii="Times New Roman" w:hAnsi="Times New Roman" w:cs="Times New Roman"/>
          <w:sz w:val="24"/>
          <w:szCs w:val="24"/>
        </w:rPr>
      </w:pPr>
    </w:p>
    <w:sectPr w:rsidR="009D1768" w:rsidRPr="00D4180B" w:rsidSect="002C0EF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E2D2" w14:textId="77777777" w:rsidR="002C0EFA" w:rsidRDefault="002C0EFA" w:rsidP="002C0EFA">
      <w:pPr>
        <w:spacing w:after="0" w:line="240" w:lineRule="auto"/>
      </w:pPr>
      <w:r>
        <w:separator/>
      </w:r>
    </w:p>
  </w:endnote>
  <w:endnote w:type="continuationSeparator" w:id="0">
    <w:p w14:paraId="52FD8C6B" w14:textId="77777777" w:rsidR="002C0EFA" w:rsidRDefault="002C0EFA" w:rsidP="002C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0A44" w14:textId="3495793D" w:rsidR="008871B2" w:rsidRPr="008871B2" w:rsidRDefault="008871B2" w:rsidP="008871B2">
    <w:pPr>
      <w:pStyle w:val="FooterCoverPage"/>
      <w:rPr>
        <w:rFonts w:ascii="Arial" w:hAnsi="Arial" w:cs="Arial"/>
        <w:b/>
        <w:sz w:val="48"/>
      </w:rPr>
    </w:pPr>
    <w:r w:rsidRPr="008871B2">
      <w:rPr>
        <w:rFonts w:ascii="Arial" w:hAnsi="Arial" w:cs="Arial"/>
        <w:b/>
        <w:sz w:val="48"/>
      </w:rPr>
      <w:t>EN</w:t>
    </w:r>
    <w:r w:rsidRPr="008871B2">
      <w:rPr>
        <w:rFonts w:ascii="Arial" w:hAnsi="Arial" w:cs="Arial"/>
        <w:b/>
        <w:sz w:val="48"/>
      </w:rPr>
      <w:tab/>
    </w:r>
    <w:r w:rsidRPr="008871B2">
      <w:rPr>
        <w:rFonts w:ascii="Arial" w:hAnsi="Arial" w:cs="Arial"/>
        <w:b/>
        <w:sz w:val="48"/>
      </w:rPr>
      <w:tab/>
    </w:r>
    <w:r w:rsidRPr="008871B2">
      <w:tab/>
    </w:r>
    <w:r w:rsidRPr="008871B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A914" w14:textId="184E31F9" w:rsidR="008871B2" w:rsidRPr="008871B2" w:rsidRDefault="008871B2" w:rsidP="008871B2">
    <w:pPr>
      <w:pStyle w:val="FooterCoverPage"/>
      <w:rPr>
        <w:rFonts w:ascii="Arial" w:hAnsi="Arial" w:cs="Arial"/>
        <w:b/>
        <w:sz w:val="48"/>
      </w:rPr>
    </w:pPr>
    <w:r w:rsidRPr="008871B2">
      <w:rPr>
        <w:rFonts w:ascii="Arial" w:hAnsi="Arial" w:cs="Arial"/>
        <w:b/>
        <w:sz w:val="48"/>
      </w:rPr>
      <w:t>EN</w:t>
    </w:r>
    <w:r w:rsidRPr="008871B2">
      <w:rPr>
        <w:rFonts w:ascii="Arial" w:hAnsi="Arial" w:cs="Arial"/>
        <w:b/>
        <w:sz w:val="48"/>
      </w:rPr>
      <w:tab/>
    </w:r>
    <w:r w:rsidRPr="008871B2">
      <w:rPr>
        <w:rFonts w:ascii="Arial" w:hAnsi="Arial" w:cs="Arial"/>
        <w:b/>
        <w:sz w:val="48"/>
      </w:rPr>
      <w:tab/>
    </w:r>
    <w:r w:rsidRPr="008871B2">
      <w:tab/>
    </w:r>
    <w:r w:rsidRPr="008871B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DBCB" w14:textId="77777777" w:rsidR="008871B2" w:rsidRPr="008871B2" w:rsidRDefault="008871B2" w:rsidP="008871B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340E" w14:textId="77777777" w:rsidR="002C0EFA" w:rsidRDefault="002C0E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08921"/>
      <w:docPartObj>
        <w:docPartGallery w:val="Page Numbers (Bottom of Page)"/>
        <w:docPartUnique/>
      </w:docPartObj>
    </w:sdtPr>
    <w:sdtEndPr>
      <w:rPr>
        <w:noProof/>
      </w:rPr>
    </w:sdtEndPr>
    <w:sdtContent>
      <w:p w14:paraId="7828BAC5" w14:textId="3A527C61" w:rsidR="00897D31" w:rsidRDefault="00897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45C984" w14:textId="77777777" w:rsidR="002C0EFA" w:rsidRDefault="002C0E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C426" w14:textId="77777777" w:rsidR="002C0EFA" w:rsidRDefault="002C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E1E5" w14:textId="77777777" w:rsidR="002C0EFA" w:rsidRDefault="002C0EFA" w:rsidP="002C0EFA">
      <w:pPr>
        <w:spacing w:after="0" w:line="240" w:lineRule="auto"/>
      </w:pPr>
      <w:r>
        <w:separator/>
      </w:r>
    </w:p>
  </w:footnote>
  <w:footnote w:type="continuationSeparator" w:id="0">
    <w:p w14:paraId="63795107" w14:textId="77777777" w:rsidR="002C0EFA" w:rsidRDefault="002C0EFA" w:rsidP="002C0EFA">
      <w:pPr>
        <w:spacing w:after="0" w:line="240" w:lineRule="auto"/>
      </w:pPr>
      <w:r>
        <w:continuationSeparator/>
      </w:r>
    </w:p>
  </w:footnote>
  <w:footnote w:id="1">
    <w:p w14:paraId="234EFF2E" w14:textId="7D8FC163" w:rsidR="007A330B" w:rsidRPr="007A330B" w:rsidRDefault="007A330B">
      <w:pPr>
        <w:pStyle w:val="FootnoteText"/>
      </w:pPr>
      <w:r>
        <w:rPr>
          <w:rStyle w:val="FootnoteReference"/>
        </w:rPr>
        <w:footnoteRef/>
      </w:r>
      <w:r>
        <w:t xml:space="preserve"> </w:t>
      </w:r>
      <w:r w:rsidR="006B7601">
        <w:t xml:space="preserve">Commission Regulation (EU) 2023/2533 of 17 November 2023 implementing Directive 2009/125/EC of the Euroepan Parliament and of the Council with regard to ecodesign requirements for household tumble dryers, amending Commission Regulation (EU) 2023/826, and repealing Commission Regulation (EU) No 932/2012 (OJ </w:t>
      </w:r>
      <w:r w:rsidR="00AB12CD">
        <w:t xml:space="preserve">L, 2023/2533, 22.11.2023, ELI: </w:t>
      </w:r>
      <w:hyperlink r:id="rId1" w:history="1">
        <w:r w:rsidR="00AB12CD" w:rsidRPr="005852CC">
          <w:rPr>
            <w:rStyle w:val="Hyperlink"/>
          </w:rPr>
          <w:t>http://data.europa.eu/eli/reg/2023/2533/oj</w:t>
        </w:r>
      </w:hyperlink>
      <w:r w:rsidR="00AB12CD">
        <w:t>).</w:t>
      </w:r>
    </w:p>
  </w:footnote>
  <w:footnote w:id="2">
    <w:p w14:paraId="2D6AF7E5" w14:textId="136B9508" w:rsidR="002E435A" w:rsidRPr="00E814E0" w:rsidRDefault="002E435A">
      <w:pPr>
        <w:pStyle w:val="FootnoteText"/>
        <w:rPr>
          <w:lang w:val="en-IE"/>
        </w:rPr>
      </w:pPr>
      <w:r>
        <w:rPr>
          <w:rStyle w:val="FootnoteReference"/>
        </w:rPr>
        <w:footnoteRef/>
      </w:r>
      <w:r>
        <w:t xml:space="preserve"> </w:t>
      </w:r>
      <w:r>
        <w:rPr>
          <w:lang w:val="en-IE"/>
        </w:rPr>
        <w:t>Ibid, Art. 7(2)</w:t>
      </w:r>
      <w:r w:rsidR="009425AD">
        <w:rPr>
          <w:lang w:val="en-IE"/>
        </w:rPr>
        <w:t>.</w:t>
      </w:r>
    </w:p>
  </w:footnote>
  <w:footnote w:id="3">
    <w:p w14:paraId="618A2D65" w14:textId="21411373" w:rsidR="002E435A" w:rsidRPr="004100C3" w:rsidRDefault="002E435A">
      <w:pPr>
        <w:pStyle w:val="FootnoteText"/>
        <w:rPr>
          <w:lang w:val="en-IE"/>
        </w:rPr>
      </w:pPr>
      <w:r>
        <w:rPr>
          <w:rStyle w:val="FootnoteReference"/>
        </w:rPr>
        <w:footnoteRef/>
      </w:r>
      <w:r>
        <w:t xml:space="preserve"> </w:t>
      </w:r>
      <w:r w:rsidRPr="002E435A">
        <w:t>https://commission.europa.eu/energy-climate-change-environment/standards-tools-and-labels/products-labelling-rules-and-requirements/energy-label-and-ecodesign/energy-efficient-products/mobile-phones-cordless-phones-and-tablets_en</w:t>
      </w:r>
      <w:r w:rsidR="009425AD">
        <w:t>.</w:t>
      </w:r>
    </w:p>
  </w:footnote>
  <w:footnote w:id="4">
    <w:p w14:paraId="66A3B612" w14:textId="5893D773" w:rsidR="0098595B" w:rsidRPr="004100C3" w:rsidRDefault="0098595B">
      <w:pPr>
        <w:pStyle w:val="FootnoteText"/>
        <w:rPr>
          <w:lang w:val="en-IE"/>
        </w:rPr>
      </w:pPr>
      <w:r>
        <w:rPr>
          <w:rStyle w:val="FootnoteReference"/>
        </w:rPr>
        <w:footnoteRef/>
      </w:r>
      <w:r>
        <w:t xml:space="preserve"> </w:t>
      </w:r>
      <w:r w:rsidRPr="0098595B">
        <w:t>https://www.en-standard.eu/csn-en-45554-general-methods-for-the-assessment-of-the-ability-to-repair-reuse-and-upgrade-energy-related-products/</w:t>
      </w:r>
      <w:r w:rsidR="009425AD">
        <w:t>.</w:t>
      </w:r>
    </w:p>
  </w:footnote>
  <w:footnote w:id="5">
    <w:p w14:paraId="6921CAA6" w14:textId="58D0156C" w:rsidR="007A330B" w:rsidRPr="00E27FC1" w:rsidRDefault="007A330B">
      <w:pPr>
        <w:pStyle w:val="FootnoteText"/>
      </w:pPr>
      <w:r>
        <w:rPr>
          <w:rStyle w:val="FootnoteReference"/>
        </w:rPr>
        <w:footnoteRef/>
      </w:r>
      <w:r w:rsidRPr="00E27FC1">
        <w:t xml:space="preserve"> </w:t>
      </w:r>
      <w:r w:rsidR="00E27FC1" w:rsidRPr="00E27FC1">
        <w:t>Commission Delegate</w:t>
      </w:r>
      <w:r w:rsidR="00E27FC1">
        <w:t xml:space="preserve">d Regulation (EU) 2023/2534 of 13 July 2023 supplementing Regulation (EU) 2017/1369 of the European Parliament and of the Council with regard to energy labelling of household tumble dryers and repealing Commission Delegated Regulation (EU) No 392/20012 </w:t>
      </w:r>
      <w:r w:rsidR="00E27FC1" w:rsidRPr="00E27FC1">
        <w:t>(OJ L, 2023/253</w:t>
      </w:r>
      <w:r w:rsidR="00E27FC1">
        <w:t>4</w:t>
      </w:r>
      <w:r w:rsidR="00E27FC1" w:rsidRPr="00E27FC1">
        <w:t xml:space="preserve">, 22.11.2023, ELI: </w:t>
      </w:r>
      <w:hyperlink r:id="rId2" w:history="1">
        <w:r w:rsidR="00E27FC1" w:rsidRPr="005852CC">
          <w:rPr>
            <w:rStyle w:val="Hyperlink"/>
          </w:rPr>
          <w:t>http://data.europa.eu/eli/reg_del/2023/2534/oj</w:t>
        </w:r>
      </w:hyperlink>
      <w:r w:rsidR="00E27FC1" w:rsidRPr="00E27FC1">
        <w:t>).</w:t>
      </w:r>
    </w:p>
  </w:footnote>
  <w:footnote w:id="6">
    <w:p w14:paraId="4D96D8C3" w14:textId="18CD81AE" w:rsidR="007F6754" w:rsidRPr="00025E41" w:rsidRDefault="007F6754" w:rsidP="007F6754">
      <w:pPr>
        <w:pStyle w:val="FootnoteText"/>
      </w:pPr>
      <w:r w:rsidRPr="00025E41">
        <w:rPr>
          <w:rStyle w:val="FootnoteReference"/>
        </w:rPr>
        <w:footnoteRef/>
      </w:r>
      <w:r w:rsidRPr="00025E41">
        <w:t xml:space="preserve"> </w:t>
      </w:r>
      <w:hyperlink r:id="rId3" w:history="1">
        <w:r w:rsidRPr="00366E56">
          <w:rPr>
            <w:rStyle w:val="Hyperlink"/>
          </w:rPr>
          <w:t>The European Green Deal, COM(2019) 640 final</w:t>
        </w:r>
      </w:hyperlink>
      <w:r w:rsidR="008C2185" w:rsidRPr="007B0859">
        <w:rPr>
          <w:rStyle w:val="Hyperlink"/>
          <w:color w:val="auto"/>
          <w:u w:val="none"/>
        </w:rPr>
        <w:t>.</w:t>
      </w:r>
    </w:p>
  </w:footnote>
  <w:footnote w:id="7">
    <w:p w14:paraId="3EEC2521" w14:textId="1EF4A44A" w:rsidR="00126A33" w:rsidRPr="00025E41" w:rsidRDefault="00126A33" w:rsidP="00126A33">
      <w:pPr>
        <w:pStyle w:val="FootnoteText"/>
      </w:pPr>
      <w:r w:rsidRPr="00025E41">
        <w:rPr>
          <w:rStyle w:val="FootnoteReference"/>
        </w:rPr>
        <w:footnoteRef/>
      </w:r>
      <w:hyperlink r:id="rId4" w:history="1">
        <w:r w:rsidRPr="00025E41">
          <w:rPr>
            <w:rStyle w:val="Hyperlink"/>
          </w:rPr>
          <w:t xml:space="preserve"> Transforming our world: the 2030 Agenda for Sustainable Development</w:t>
        </w:r>
      </w:hyperlink>
      <w:r w:rsidR="008C2185" w:rsidRPr="007B0859">
        <w:rPr>
          <w:rStyle w:val="Hyperlink"/>
          <w:color w:val="auto"/>
          <w:u w:val="none"/>
        </w:rPr>
        <w:t>.</w:t>
      </w:r>
    </w:p>
  </w:footnote>
  <w:footnote w:id="8">
    <w:p w14:paraId="2E2558FB" w14:textId="43455130" w:rsidR="007F6754" w:rsidRPr="00025E41" w:rsidRDefault="007F6754" w:rsidP="007F6754">
      <w:pPr>
        <w:pStyle w:val="FootnoteText"/>
      </w:pPr>
      <w:r w:rsidRPr="00025E41">
        <w:rPr>
          <w:rStyle w:val="FootnoteReference"/>
        </w:rPr>
        <w:footnoteRef/>
      </w:r>
      <w:r w:rsidRPr="00025E41">
        <w:t xml:space="preserve"> </w:t>
      </w:r>
      <w:hyperlink r:id="rId5" w:history="1">
        <w:r w:rsidRPr="008A54B0">
          <w:rPr>
            <w:rStyle w:val="Hyperlink"/>
          </w:rPr>
          <w:t>Circular Economy Action Plan for a more competitive Europe, COM(2020) 98</w:t>
        </w:r>
      </w:hyperlink>
      <w:r w:rsidR="008C2185">
        <w:t>.</w:t>
      </w:r>
    </w:p>
    <w:p w14:paraId="69D34EE0" w14:textId="55486FA9" w:rsidR="007F6754" w:rsidRPr="00025E41" w:rsidRDefault="00037509" w:rsidP="007F6754">
      <w:pPr>
        <w:pStyle w:val="FootnoteText"/>
      </w:pPr>
      <w:hyperlink r:id="rId6" w:history="1">
        <w:r w:rsidR="007F6754" w:rsidRPr="00025E41">
          <w:rPr>
            <w:rStyle w:val="Hyperlink"/>
          </w:rPr>
          <w:t>https://eur-lex.europa.eu/legal-content/EN/TXT/PDF/?uri=CELEX:52015DC0614&amp;from=EN</w:t>
        </w:r>
      </w:hyperlink>
      <w:r w:rsidR="008C2185" w:rsidRPr="007B0859">
        <w:rPr>
          <w:rStyle w:val="Hyperlink"/>
          <w:color w:val="auto"/>
          <w:u w:val="none"/>
        </w:rPr>
        <w:t>.</w:t>
      </w:r>
    </w:p>
  </w:footnote>
  <w:footnote w:id="9">
    <w:p w14:paraId="222AED94" w14:textId="77777777" w:rsidR="00F600F2" w:rsidRPr="00F77CC9" w:rsidRDefault="00F600F2" w:rsidP="00F600F2">
      <w:pPr>
        <w:pStyle w:val="FootnoteText"/>
      </w:pPr>
      <w:r>
        <w:rPr>
          <w:rStyle w:val="FootnoteReference"/>
        </w:rPr>
        <w:footnoteRef/>
      </w:r>
      <w:r>
        <w:t xml:space="preserve"> </w:t>
      </w:r>
      <w:r w:rsidRPr="00F77CC9">
        <w:t>Directive 2009/125/EC of the European P</w:t>
      </w:r>
      <w:r>
        <w:t>arliament and of the Council of 21 October 2009 establishing a framework for the setting of ecodesign requirements for energy-related products (OJ L 285, 31.10.2009, p.10)</w:t>
      </w:r>
    </w:p>
  </w:footnote>
  <w:footnote w:id="10">
    <w:p w14:paraId="752832FA" w14:textId="27CF020C" w:rsidR="006052E6" w:rsidRPr="006052E6" w:rsidRDefault="006052E6">
      <w:pPr>
        <w:pStyle w:val="FootnoteText"/>
      </w:pPr>
      <w:r>
        <w:rPr>
          <w:rStyle w:val="FootnoteReference"/>
        </w:rPr>
        <w:footnoteRef/>
      </w:r>
      <w:r>
        <w:t xml:space="preserve"> </w:t>
      </w:r>
      <w:r w:rsidRPr="006052E6">
        <w:t>Communication from the Commission to t</w:t>
      </w:r>
      <w:r>
        <w:t xml:space="preserve">he European Parliament, the Council, the European Economic and Social Committee and the Committee of the Regions on making sustainable products the norm (COM/2022/140 final). </w:t>
      </w:r>
    </w:p>
  </w:footnote>
  <w:footnote w:id="11">
    <w:p w14:paraId="3D358C76" w14:textId="14A05A98" w:rsidR="000E26A0" w:rsidRPr="000E26A0" w:rsidRDefault="000E26A0">
      <w:pPr>
        <w:pStyle w:val="FootnoteText"/>
      </w:pPr>
      <w:r>
        <w:rPr>
          <w:rStyle w:val="FootnoteReference"/>
        </w:rPr>
        <w:footnoteRef/>
      </w:r>
      <w:r>
        <w:t xml:space="preserve"> </w:t>
      </w:r>
      <w:r w:rsidR="009A036F" w:rsidRPr="009A036F">
        <w:t>Regulation (EU) 2017/1369 of the European Parliament and of the Council of 4 July 2017 setting a framework for energy labelling and repealing Directive 2010/30/EU</w:t>
      </w:r>
      <w:r w:rsidR="003A3F9B">
        <w:t xml:space="preserve"> (OJ L 198, 28.7.2017, p. 1).</w:t>
      </w:r>
    </w:p>
  </w:footnote>
  <w:footnote w:id="12">
    <w:p w14:paraId="6ED53AE8" w14:textId="1F9A0D94" w:rsidR="005C6257" w:rsidRPr="00FF6875" w:rsidRDefault="005C6257" w:rsidP="005C6257">
      <w:pPr>
        <w:pStyle w:val="FootnoteText"/>
      </w:pPr>
      <w:r>
        <w:rPr>
          <w:rStyle w:val="FootnoteReference"/>
        </w:rPr>
        <w:footnoteRef/>
      </w:r>
      <w:r>
        <w:t xml:space="preserve"> Commission Delegated Regulation (EU) No 392/2012 of 1 March 2012 supplementing Directive 2010/30/EU of the European Parliament and of the Council with regard to energy labelling of household tumble driers (OJ L 123, 9.5.2012, p. 1)</w:t>
      </w:r>
      <w:r w:rsidR="003A3F9B">
        <w:t>.</w:t>
      </w:r>
    </w:p>
  </w:footnote>
  <w:footnote w:id="13">
    <w:p w14:paraId="2D84E05F" w14:textId="47C133A1" w:rsidR="004A1529" w:rsidRPr="004A1529" w:rsidRDefault="004A1529">
      <w:pPr>
        <w:pStyle w:val="FootnoteText"/>
      </w:pPr>
      <w:r>
        <w:rPr>
          <w:rStyle w:val="FootnoteReference"/>
        </w:rPr>
        <w:footnoteRef/>
      </w:r>
      <w:r>
        <w:t xml:space="preserve"> Review study on household tumble dr</w:t>
      </w:r>
      <w:r w:rsidR="007B0859">
        <w:t>y</w:t>
      </w:r>
      <w:r>
        <w:t>ers – Final report (Viegand Maagoe A/S).</w:t>
      </w:r>
    </w:p>
  </w:footnote>
  <w:footnote w:id="14">
    <w:p w14:paraId="02556A5A" w14:textId="5DB41E4C" w:rsidR="00ED5D41" w:rsidRPr="00403363" w:rsidRDefault="00ED5D41" w:rsidP="00ED5D41">
      <w:pPr>
        <w:pStyle w:val="FootnoteText"/>
      </w:pPr>
      <w:r>
        <w:rPr>
          <w:rStyle w:val="FootnoteReference"/>
        </w:rPr>
        <w:footnoteRef/>
      </w:r>
      <w:r>
        <w:t xml:space="preserve"> European Commission, Joint Research Centre, Sanfelix, J., Cordella, M., Alfieri, F</w:t>
      </w:r>
      <w:r w:rsidRPr="00C14DE1">
        <w:t>.</w:t>
      </w:r>
      <w:hyperlink r:id="rId7" w:history="1">
        <w:r w:rsidRPr="00C14DE1">
          <w:rPr>
            <w:rStyle w:val="Hyperlink"/>
            <w:color w:val="auto"/>
            <w:u w:val="none"/>
          </w:rPr>
          <w:t xml:space="preserve"> Analysis and development of a scoring system for repair and upgrade of products – Final report, Publications Office, 2019,</w:t>
        </w:r>
      </w:hyperlink>
      <w:r>
        <w:rPr>
          <w:rStyle w:val="Hyperlink"/>
        </w:rPr>
        <w:t xml:space="preserve"> </w:t>
      </w:r>
      <w:r w:rsidRPr="00C14DE1">
        <w:rPr>
          <w:rStyle w:val="Hyperlink"/>
        </w:rPr>
        <w:t>https://data.europa.eu/doi/10.2760/725068</w:t>
      </w:r>
      <w:r w:rsidRPr="007B0859">
        <w:rPr>
          <w:rStyle w:val="Hyperlink"/>
          <w:color w:val="auto"/>
          <w:u w:val="none"/>
        </w:rPr>
        <w:t>.</w:t>
      </w:r>
    </w:p>
  </w:footnote>
  <w:footnote w:id="15">
    <w:p w14:paraId="57FFCA00" w14:textId="77777777" w:rsidR="00ED5D41" w:rsidRPr="007B0859" w:rsidRDefault="00ED5D41" w:rsidP="00ED5D41">
      <w:pPr>
        <w:pStyle w:val="FootnoteText"/>
      </w:pPr>
      <w:r>
        <w:rPr>
          <w:rStyle w:val="FootnoteReference"/>
        </w:rPr>
        <w:footnoteRef/>
      </w:r>
      <w:r>
        <w:t xml:space="preserve"> Methods and standards for assessing the repairability of electrical and electronic devices – Strengthening material efficiency under the Ecodesign Directive (Michael Ritthoff et al.).</w:t>
      </w:r>
    </w:p>
  </w:footnote>
  <w:footnote w:id="16">
    <w:p w14:paraId="7C88F9E2" w14:textId="77777777" w:rsidR="00CE06A5" w:rsidRPr="00C31D1E" w:rsidRDefault="00CE06A5" w:rsidP="00CE06A5">
      <w:pPr>
        <w:pStyle w:val="FootnoteText"/>
      </w:pPr>
      <w:r>
        <w:rPr>
          <w:rStyle w:val="FootnoteReference"/>
        </w:rPr>
        <w:footnoteRef/>
      </w:r>
      <w:r>
        <w:t xml:space="preserve"> </w:t>
      </w:r>
      <w:r w:rsidRPr="00C31D1E">
        <w:t>C</w:t>
      </w:r>
      <w:r>
        <w:t>ommission Delegated Regulation (EU) 2023/1669 of 16 June 2023 supplementing Regulation (EU) 2017/1369 of the European Parliament and of the Council with regard to the energy labelling of smartphones and slate tablets (OJ L 214, 31.8.2023, p. 9).</w:t>
      </w:r>
    </w:p>
  </w:footnote>
  <w:footnote w:id="17">
    <w:p w14:paraId="73B66DF8" w14:textId="482D66BE" w:rsidR="00FB3C53" w:rsidRPr="00FA5585" w:rsidRDefault="00FB3C53" w:rsidP="00FB3C53">
      <w:pPr>
        <w:pStyle w:val="FootnoteText"/>
      </w:pPr>
      <w:r>
        <w:rPr>
          <w:rStyle w:val="FootnoteReference"/>
        </w:rPr>
        <w:footnoteRef/>
      </w:r>
      <w:r>
        <w:t xml:space="preserve"> </w:t>
      </w:r>
      <w:r w:rsidR="000B11B4">
        <w:t>Section 2.2.1 of the study.</w:t>
      </w:r>
    </w:p>
  </w:footnote>
  <w:footnote w:id="18">
    <w:p w14:paraId="03CE9054" w14:textId="77777777" w:rsidR="00FB50C2" w:rsidRPr="00D805BF" w:rsidRDefault="00FB50C2" w:rsidP="00FB50C2">
      <w:pPr>
        <w:pStyle w:val="FootnoteText"/>
      </w:pPr>
      <w:r>
        <w:rPr>
          <w:rStyle w:val="FootnoteReference"/>
        </w:rPr>
        <w:footnoteRef/>
      </w:r>
      <w:r>
        <w:t xml:space="preserve"> </w:t>
      </w:r>
      <w:r w:rsidRPr="00D805BF">
        <w:t>R</w:t>
      </w:r>
      <w:r>
        <w:t xml:space="preserve">eference to the EcoReport Tool. </w:t>
      </w:r>
    </w:p>
  </w:footnote>
  <w:footnote w:id="19">
    <w:p w14:paraId="6E897A75" w14:textId="0272B1D1" w:rsidR="00FA5585" w:rsidRPr="00FA5585" w:rsidRDefault="00FA5585" w:rsidP="00FA5585">
      <w:pPr>
        <w:pStyle w:val="FootnoteText"/>
      </w:pPr>
      <w:r>
        <w:rPr>
          <w:rStyle w:val="FootnoteReference"/>
        </w:rPr>
        <w:footnoteRef/>
      </w:r>
      <w:r>
        <w:t xml:space="preserve"> </w:t>
      </w:r>
      <w:r w:rsidR="00703852">
        <w:t xml:space="preserve">Commission Staff Working Document Impact Assessment Report Accompanying the documents Commission Regulation (EU) </w:t>
      </w:r>
      <w:r w:rsidR="000B11B4">
        <w:t>2023</w:t>
      </w:r>
      <w:r w:rsidR="00703852">
        <w:t>/</w:t>
      </w:r>
      <w:r w:rsidR="000B11B4">
        <w:t>2533</w:t>
      </w:r>
      <w:r w:rsidR="00703852">
        <w:t xml:space="preserve"> of </w:t>
      </w:r>
      <w:r w:rsidR="000B11B4">
        <w:t xml:space="preserve">17 November 2023 </w:t>
      </w:r>
      <w:r w:rsidR="00703852">
        <w:t>implementing Directive 2009/125/EC of the European Parliament and of the Council with regard to ecodesign requirements for household tumble dryers, amending Commission Regulation (EU) 2023/826, and repealing Commission Regulation (EU) No 932/2012 and Commission Delegated Regulation (EU)</w:t>
      </w:r>
      <w:r w:rsidR="000B11B4">
        <w:t xml:space="preserve"> 2023</w:t>
      </w:r>
      <w:r w:rsidR="00703852">
        <w:t>/</w:t>
      </w:r>
      <w:r w:rsidR="000B11B4">
        <w:t xml:space="preserve">2534 of 17 November 2024 </w:t>
      </w:r>
      <w:r w:rsidR="00703852">
        <w:t>of the European Parliament and of the Council with regard to energy labelling of household tumble dryers and repealing Commission Delegated Regulation (EU) No 392/2012.</w:t>
      </w:r>
    </w:p>
  </w:footnote>
  <w:footnote w:id="20">
    <w:p w14:paraId="49BD1C34" w14:textId="0D1DF8CA" w:rsidR="00F4202A" w:rsidRPr="00F4202A" w:rsidRDefault="00F4202A">
      <w:pPr>
        <w:pStyle w:val="FootnoteText"/>
      </w:pPr>
      <w:r>
        <w:rPr>
          <w:rStyle w:val="FootnoteReference"/>
        </w:rPr>
        <w:footnoteRef/>
      </w:r>
      <w:r w:rsidRPr="00F4202A">
        <w:t xml:space="preserve"> European Commmission, Joint Research Centre, Spilitopoulos, C., Alfieri, F., La Placa, M. et al., Product reparability scoring system – Specific a</w:t>
      </w:r>
      <w:r>
        <w:t xml:space="preserve">pplication to smartphones and slate tablets, Publications Office of the European Union, 2022, </w:t>
      </w:r>
      <w:hyperlink r:id="rId8" w:history="1">
        <w:r w:rsidRPr="005852CC">
          <w:rPr>
            <w:rStyle w:val="Hyperlink"/>
          </w:rPr>
          <w:t>https://data.europa.eu/doi/10.2760/340944</w:t>
        </w:r>
      </w:hyperlink>
      <w:r>
        <w:t>.</w:t>
      </w:r>
    </w:p>
  </w:footnote>
  <w:footnote w:id="21">
    <w:p w14:paraId="5D76BDAC" w14:textId="77777777" w:rsidR="00A32139" w:rsidRPr="00F4202A" w:rsidRDefault="00A32139" w:rsidP="00A32139">
      <w:pPr>
        <w:pStyle w:val="FootnoteText"/>
      </w:pPr>
      <w:r>
        <w:rPr>
          <w:rStyle w:val="FootnoteReference"/>
        </w:rPr>
        <w:footnoteRef/>
      </w:r>
      <w:r w:rsidRPr="00F4202A">
        <w:t xml:space="preserve"> </w:t>
      </w:r>
    </w:p>
  </w:footnote>
  <w:footnote w:id="22">
    <w:p w14:paraId="2F575DB5" w14:textId="77777777" w:rsidR="00A32139" w:rsidRPr="00376DF2" w:rsidRDefault="00A32139" w:rsidP="00A32139">
      <w:pPr>
        <w:pStyle w:val="FootnoteText"/>
      </w:pPr>
      <w:r>
        <w:rPr>
          <w:rStyle w:val="FootnoteReference"/>
        </w:rPr>
        <w:footnoteRef/>
      </w:r>
      <w:r>
        <w:t xml:space="preserve"> 5 €/year in 12 years is used in the review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57AF" w14:textId="77777777" w:rsidR="008871B2" w:rsidRPr="008871B2" w:rsidRDefault="008871B2" w:rsidP="008871B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58FF" w14:textId="77777777" w:rsidR="008871B2" w:rsidRPr="008871B2" w:rsidRDefault="008871B2" w:rsidP="008871B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F5C6" w14:textId="77777777" w:rsidR="008871B2" w:rsidRPr="008871B2" w:rsidRDefault="008871B2" w:rsidP="008871B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577C" w14:textId="77777777" w:rsidR="002C0EFA" w:rsidRDefault="002C0E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5B13" w14:textId="77777777" w:rsidR="002C0EFA" w:rsidRDefault="002C0E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096C" w14:textId="77777777" w:rsidR="002C0EFA" w:rsidRDefault="002C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8B7"/>
    <w:multiLevelType w:val="hybridMultilevel"/>
    <w:tmpl w:val="6A8E35F4"/>
    <w:lvl w:ilvl="0" w:tplc="07DCE88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C5EE1"/>
    <w:multiLevelType w:val="hybridMultilevel"/>
    <w:tmpl w:val="734E17C6"/>
    <w:lvl w:ilvl="0" w:tplc="44E45C6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0284A"/>
    <w:multiLevelType w:val="hybridMultilevel"/>
    <w:tmpl w:val="777A0B9E"/>
    <w:lvl w:ilvl="0" w:tplc="A51A85B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34306"/>
    <w:multiLevelType w:val="multilevel"/>
    <w:tmpl w:val="2100509A"/>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F210FCD"/>
    <w:multiLevelType w:val="hybridMultilevel"/>
    <w:tmpl w:val="B3B6FEA6"/>
    <w:lvl w:ilvl="0" w:tplc="E6501FC2">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EE0BCF"/>
    <w:multiLevelType w:val="hybridMultilevel"/>
    <w:tmpl w:val="31F85796"/>
    <w:lvl w:ilvl="0" w:tplc="DCC4E7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124139">
    <w:abstractNumId w:val="3"/>
  </w:num>
  <w:num w:numId="2" w16cid:durableId="1722943760">
    <w:abstractNumId w:val="5"/>
  </w:num>
  <w:num w:numId="3" w16cid:durableId="1560244267">
    <w:abstractNumId w:val="0"/>
  </w:num>
  <w:num w:numId="4" w16cid:durableId="1681548046">
    <w:abstractNumId w:val="2"/>
  </w:num>
  <w:num w:numId="5" w16cid:durableId="1722747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510585">
    <w:abstractNumId w:val="4"/>
  </w:num>
  <w:num w:numId="7" w16cid:durableId="130700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Accompanying the document"/>
    <w:docVar w:name="LW_CORRIGENDUM" w:val="&lt;UNUSED&gt;"/>
    <w:docVar w:name="LW_COVERPAGE_EXISTS" w:val="True"/>
    <w:docVar w:name="LW_COVERPAGE_GUID" w:val="8BA70CD7-C9EE-4E85-B480-A7E4D17C237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Mandatory element]"/>
    <w:docVar w:name="LW_PART_NBR" w:val="1"/>
    <w:docVar w:name="LW_PART_NBR_TOTAL" w:val="1"/>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u8230?]&lt;/FMT&gt;"/>
    <w:docVar w:name="LW_TYPE.DOC.CP" w:val="COMMISSION STAFF WORKING DOCUMENT"/>
    <w:docVar w:name="LW_TYPEACTEPRINCIPAL.CP" w:val="[Mandatory element]"/>
  </w:docVars>
  <w:rsids>
    <w:rsidRoot w:val="002C0EFA"/>
    <w:rsid w:val="0000024D"/>
    <w:rsid w:val="00006DA7"/>
    <w:rsid w:val="0001022C"/>
    <w:rsid w:val="00010DCB"/>
    <w:rsid w:val="00011F9A"/>
    <w:rsid w:val="00024FE8"/>
    <w:rsid w:val="000309F9"/>
    <w:rsid w:val="00036BBC"/>
    <w:rsid w:val="00037509"/>
    <w:rsid w:val="0004023C"/>
    <w:rsid w:val="00047A91"/>
    <w:rsid w:val="00051ED5"/>
    <w:rsid w:val="00055343"/>
    <w:rsid w:val="000611EB"/>
    <w:rsid w:val="000626A4"/>
    <w:rsid w:val="00065713"/>
    <w:rsid w:val="00074A94"/>
    <w:rsid w:val="0008427A"/>
    <w:rsid w:val="00087B8A"/>
    <w:rsid w:val="000923D1"/>
    <w:rsid w:val="00095CB4"/>
    <w:rsid w:val="000965E8"/>
    <w:rsid w:val="000A5B9D"/>
    <w:rsid w:val="000B04DD"/>
    <w:rsid w:val="000B11B4"/>
    <w:rsid w:val="000D0019"/>
    <w:rsid w:val="000D0709"/>
    <w:rsid w:val="000D40C1"/>
    <w:rsid w:val="000E26A0"/>
    <w:rsid w:val="000E7281"/>
    <w:rsid w:val="000F4F9A"/>
    <w:rsid w:val="00102E4F"/>
    <w:rsid w:val="00104A52"/>
    <w:rsid w:val="001067E5"/>
    <w:rsid w:val="001160A0"/>
    <w:rsid w:val="001202A7"/>
    <w:rsid w:val="00121FC3"/>
    <w:rsid w:val="00124CF1"/>
    <w:rsid w:val="00124E50"/>
    <w:rsid w:val="00126A33"/>
    <w:rsid w:val="0013380F"/>
    <w:rsid w:val="00145B7F"/>
    <w:rsid w:val="00147A9C"/>
    <w:rsid w:val="0015442B"/>
    <w:rsid w:val="00177357"/>
    <w:rsid w:val="00187017"/>
    <w:rsid w:val="00187641"/>
    <w:rsid w:val="00197C76"/>
    <w:rsid w:val="001A1EDC"/>
    <w:rsid w:val="001A222E"/>
    <w:rsid w:val="001A3E84"/>
    <w:rsid w:val="001A659B"/>
    <w:rsid w:val="001C0555"/>
    <w:rsid w:val="001C1199"/>
    <w:rsid w:val="001D00A2"/>
    <w:rsid w:val="001D27A8"/>
    <w:rsid w:val="001D62FF"/>
    <w:rsid w:val="001D7641"/>
    <w:rsid w:val="00200CE6"/>
    <w:rsid w:val="00203A9B"/>
    <w:rsid w:val="00231756"/>
    <w:rsid w:val="00252C8B"/>
    <w:rsid w:val="0025315E"/>
    <w:rsid w:val="00257DFA"/>
    <w:rsid w:val="00283002"/>
    <w:rsid w:val="002863C0"/>
    <w:rsid w:val="00287C9B"/>
    <w:rsid w:val="00290617"/>
    <w:rsid w:val="00296300"/>
    <w:rsid w:val="002C03B4"/>
    <w:rsid w:val="002C0EFA"/>
    <w:rsid w:val="002E148F"/>
    <w:rsid w:val="002E435A"/>
    <w:rsid w:val="002E6546"/>
    <w:rsid w:val="002E70F8"/>
    <w:rsid w:val="002F194B"/>
    <w:rsid w:val="003004DE"/>
    <w:rsid w:val="00312800"/>
    <w:rsid w:val="003210D8"/>
    <w:rsid w:val="00332AD6"/>
    <w:rsid w:val="00333B05"/>
    <w:rsid w:val="00340215"/>
    <w:rsid w:val="003404DD"/>
    <w:rsid w:val="003534F5"/>
    <w:rsid w:val="00354A2B"/>
    <w:rsid w:val="00357EC2"/>
    <w:rsid w:val="00362B0A"/>
    <w:rsid w:val="00374BBF"/>
    <w:rsid w:val="0038136C"/>
    <w:rsid w:val="003912BC"/>
    <w:rsid w:val="00392BC3"/>
    <w:rsid w:val="003A17F4"/>
    <w:rsid w:val="003A18E8"/>
    <w:rsid w:val="003A3F9B"/>
    <w:rsid w:val="003A6356"/>
    <w:rsid w:val="003A7BD1"/>
    <w:rsid w:val="003B73E5"/>
    <w:rsid w:val="003C413A"/>
    <w:rsid w:val="003D1129"/>
    <w:rsid w:val="003D389B"/>
    <w:rsid w:val="003E5C56"/>
    <w:rsid w:val="003F0B8F"/>
    <w:rsid w:val="003F469D"/>
    <w:rsid w:val="00403363"/>
    <w:rsid w:val="00407F0D"/>
    <w:rsid w:val="004100C3"/>
    <w:rsid w:val="00420298"/>
    <w:rsid w:val="004217C1"/>
    <w:rsid w:val="00434FA6"/>
    <w:rsid w:val="00435209"/>
    <w:rsid w:val="004366BA"/>
    <w:rsid w:val="004379B7"/>
    <w:rsid w:val="00472E37"/>
    <w:rsid w:val="004778C7"/>
    <w:rsid w:val="00481000"/>
    <w:rsid w:val="00486ADF"/>
    <w:rsid w:val="00493169"/>
    <w:rsid w:val="00495D77"/>
    <w:rsid w:val="0049731D"/>
    <w:rsid w:val="004A1529"/>
    <w:rsid w:val="004A2459"/>
    <w:rsid w:val="004B1805"/>
    <w:rsid w:val="004B2A1E"/>
    <w:rsid w:val="004B3304"/>
    <w:rsid w:val="004B3AD2"/>
    <w:rsid w:val="004B3F61"/>
    <w:rsid w:val="004B6EFC"/>
    <w:rsid w:val="004C0D45"/>
    <w:rsid w:val="004C63E0"/>
    <w:rsid w:val="004C6C91"/>
    <w:rsid w:val="004C7A84"/>
    <w:rsid w:val="004D3F8A"/>
    <w:rsid w:val="004E087B"/>
    <w:rsid w:val="004E20C4"/>
    <w:rsid w:val="004E46E1"/>
    <w:rsid w:val="004E645A"/>
    <w:rsid w:val="004F020E"/>
    <w:rsid w:val="00507E5A"/>
    <w:rsid w:val="00512E58"/>
    <w:rsid w:val="00514CA6"/>
    <w:rsid w:val="00517B69"/>
    <w:rsid w:val="00524AFC"/>
    <w:rsid w:val="00546A7B"/>
    <w:rsid w:val="00567BDF"/>
    <w:rsid w:val="00570FEE"/>
    <w:rsid w:val="00573C2B"/>
    <w:rsid w:val="00573DE4"/>
    <w:rsid w:val="005767EE"/>
    <w:rsid w:val="00582847"/>
    <w:rsid w:val="005866AB"/>
    <w:rsid w:val="00587A3B"/>
    <w:rsid w:val="0059041F"/>
    <w:rsid w:val="005B0C4F"/>
    <w:rsid w:val="005B52A6"/>
    <w:rsid w:val="005C4152"/>
    <w:rsid w:val="005C41D5"/>
    <w:rsid w:val="005C6257"/>
    <w:rsid w:val="005E198C"/>
    <w:rsid w:val="005E56E5"/>
    <w:rsid w:val="005F11F2"/>
    <w:rsid w:val="00600F2C"/>
    <w:rsid w:val="00601B06"/>
    <w:rsid w:val="006052E6"/>
    <w:rsid w:val="006101AA"/>
    <w:rsid w:val="006116DF"/>
    <w:rsid w:val="00612048"/>
    <w:rsid w:val="00614455"/>
    <w:rsid w:val="006243A7"/>
    <w:rsid w:val="00634318"/>
    <w:rsid w:val="006346D7"/>
    <w:rsid w:val="00640F2C"/>
    <w:rsid w:val="00654A62"/>
    <w:rsid w:val="006620A0"/>
    <w:rsid w:val="0066422A"/>
    <w:rsid w:val="00671375"/>
    <w:rsid w:val="0067170D"/>
    <w:rsid w:val="00680C45"/>
    <w:rsid w:val="006829B4"/>
    <w:rsid w:val="006858E5"/>
    <w:rsid w:val="00687B9B"/>
    <w:rsid w:val="00690A73"/>
    <w:rsid w:val="006912D1"/>
    <w:rsid w:val="00691604"/>
    <w:rsid w:val="00694E81"/>
    <w:rsid w:val="00696932"/>
    <w:rsid w:val="006A1162"/>
    <w:rsid w:val="006A68E2"/>
    <w:rsid w:val="006B7601"/>
    <w:rsid w:val="006B7E0D"/>
    <w:rsid w:val="006C0CC2"/>
    <w:rsid w:val="006C166E"/>
    <w:rsid w:val="006C40FA"/>
    <w:rsid w:val="006D2A2C"/>
    <w:rsid w:val="006D52CF"/>
    <w:rsid w:val="00703852"/>
    <w:rsid w:val="00710BF0"/>
    <w:rsid w:val="0071284B"/>
    <w:rsid w:val="00723B14"/>
    <w:rsid w:val="0072400E"/>
    <w:rsid w:val="00727349"/>
    <w:rsid w:val="00734E3C"/>
    <w:rsid w:val="007351FA"/>
    <w:rsid w:val="007361BE"/>
    <w:rsid w:val="0074365A"/>
    <w:rsid w:val="007564DB"/>
    <w:rsid w:val="00762615"/>
    <w:rsid w:val="007679D5"/>
    <w:rsid w:val="00780101"/>
    <w:rsid w:val="007826A8"/>
    <w:rsid w:val="0079143B"/>
    <w:rsid w:val="007A330B"/>
    <w:rsid w:val="007A799F"/>
    <w:rsid w:val="007B0859"/>
    <w:rsid w:val="007B207E"/>
    <w:rsid w:val="007C04E1"/>
    <w:rsid w:val="007C2BEA"/>
    <w:rsid w:val="007C6830"/>
    <w:rsid w:val="007D3EE0"/>
    <w:rsid w:val="007D5657"/>
    <w:rsid w:val="007E0451"/>
    <w:rsid w:val="007E0E3C"/>
    <w:rsid w:val="007E546A"/>
    <w:rsid w:val="007E63BD"/>
    <w:rsid w:val="007F0CC0"/>
    <w:rsid w:val="007F6754"/>
    <w:rsid w:val="00801553"/>
    <w:rsid w:val="00802D65"/>
    <w:rsid w:val="00805621"/>
    <w:rsid w:val="0081352F"/>
    <w:rsid w:val="0083212C"/>
    <w:rsid w:val="00835A24"/>
    <w:rsid w:val="00842A59"/>
    <w:rsid w:val="00847CD3"/>
    <w:rsid w:val="008501C3"/>
    <w:rsid w:val="008613EF"/>
    <w:rsid w:val="00861AB6"/>
    <w:rsid w:val="00873948"/>
    <w:rsid w:val="00876AAC"/>
    <w:rsid w:val="00881CDD"/>
    <w:rsid w:val="008871B2"/>
    <w:rsid w:val="008905B0"/>
    <w:rsid w:val="00897D31"/>
    <w:rsid w:val="008A6DB0"/>
    <w:rsid w:val="008B2D6D"/>
    <w:rsid w:val="008B6034"/>
    <w:rsid w:val="008C2185"/>
    <w:rsid w:val="008E420E"/>
    <w:rsid w:val="008E4FF6"/>
    <w:rsid w:val="008E5DB4"/>
    <w:rsid w:val="008E631A"/>
    <w:rsid w:val="008E7F12"/>
    <w:rsid w:val="00900771"/>
    <w:rsid w:val="00907FB5"/>
    <w:rsid w:val="00910B69"/>
    <w:rsid w:val="00914091"/>
    <w:rsid w:val="00914B14"/>
    <w:rsid w:val="009175F1"/>
    <w:rsid w:val="00917D67"/>
    <w:rsid w:val="00921F97"/>
    <w:rsid w:val="0092724B"/>
    <w:rsid w:val="009425AD"/>
    <w:rsid w:val="0094365C"/>
    <w:rsid w:val="00944C73"/>
    <w:rsid w:val="009472D5"/>
    <w:rsid w:val="009478E7"/>
    <w:rsid w:val="00947D6A"/>
    <w:rsid w:val="00952F86"/>
    <w:rsid w:val="00957050"/>
    <w:rsid w:val="00961D56"/>
    <w:rsid w:val="009630DC"/>
    <w:rsid w:val="0098595B"/>
    <w:rsid w:val="009864FE"/>
    <w:rsid w:val="00987618"/>
    <w:rsid w:val="00987A86"/>
    <w:rsid w:val="00992F4E"/>
    <w:rsid w:val="00997BF4"/>
    <w:rsid w:val="009A036F"/>
    <w:rsid w:val="009A66AC"/>
    <w:rsid w:val="009B0863"/>
    <w:rsid w:val="009B47D7"/>
    <w:rsid w:val="009B72C0"/>
    <w:rsid w:val="009C61A5"/>
    <w:rsid w:val="009D0D8E"/>
    <w:rsid w:val="009D1768"/>
    <w:rsid w:val="009D4157"/>
    <w:rsid w:val="009D7277"/>
    <w:rsid w:val="009E0F91"/>
    <w:rsid w:val="009E2EEF"/>
    <w:rsid w:val="009F06CF"/>
    <w:rsid w:val="009F2324"/>
    <w:rsid w:val="009F3D09"/>
    <w:rsid w:val="009F44AC"/>
    <w:rsid w:val="00A00A5F"/>
    <w:rsid w:val="00A02CEF"/>
    <w:rsid w:val="00A04B46"/>
    <w:rsid w:val="00A0733B"/>
    <w:rsid w:val="00A07ABE"/>
    <w:rsid w:val="00A1100B"/>
    <w:rsid w:val="00A22334"/>
    <w:rsid w:val="00A25228"/>
    <w:rsid w:val="00A25ADD"/>
    <w:rsid w:val="00A3071B"/>
    <w:rsid w:val="00A31165"/>
    <w:rsid w:val="00A320D5"/>
    <w:rsid w:val="00A32139"/>
    <w:rsid w:val="00A35308"/>
    <w:rsid w:val="00A35C18"/>
    <w:rsid w:val="00A35C2A"/>
    <w:rsid w:val="00A63C66"/>
    <w:rsid w:val="00A65759"/>
    <w:rsid w:val="00A6706A"/>
    <w:rsid w:val="00A72252"/>
    <w:rsid w:val="00A72C99"/>
    <w:rsid w:val="00A86B38"/>
    <w:rsid w:val="00A91C14"/>
    <w:rsid w:val="00A92D88"/>
    <w:rsid w:val="00A935C9"/>
    <w:rsid w:val="00A97F1C"/>
    <w:rsid w:val="00AA449F"/>
    <w:rsid w:val="00AA788F"/>
    <w:rsid w:val="00AB12CD"/>
    <w:rsid w:val="00AB2D4F"/>
    <w:rsid w:val="00AB57D8"/>
    <w:rsid w:val="00AC405F"/>
    <w:rsid w:val="00AC6559"/>
    <w:rsid w:val="00AC711E"/>
    <w:rsid w:val="00AD5EBA"/>
    <w:rsid w:val="00AE7D70"/>
    <w:rsid w:val="00AF5D2A"/>
    <w:rsid w:val="00B00DBE"/>
    <w:rsid w:val="00B063AC"/>
    <w:rsid w:val="00B07FA4"/>
    <w:rsid w:val="00B153B6"/>
    <w:rsid w:val="00B20CE3"/>
    <w:rsid w:val="00B20DC0"/>
    <w:rsid w:val="00B25796"/>
    <w:rsid w:val="00B260B9"/>
    <w:rsid w:val="00B3188F"/>
    <w:rsid w:val="00B434F0"/>
    <w:rsid w:val="00B4612E"/>
    <w:rsid w:val="00B50E67"/>
    <w:rsid w:val="00B63482"/>
    <w:rsid w:val="00B67934"/>
    <w:rsid w:val="00B73541"/>
    <w:rsid w:val="00B74271"/>
    <w:rsid w:val="00B74C3D"/>
    <w:rsid w:val="00B82368"/>
    <w:rsid w:val="00B95691"/>
    <w:rsid w:val="00BB1753"/>
    <w:rsid w:val="00BC3508"/>
    <w:rsid w:val="00BC605E"/>
    <w:rsid w:val="00BC7948"/>
    <w:rsid w:val="00BD11CB"/>
    <w:rsid w:val="00BD1475"/>
    <w:rsid w:val="00BD4818"/>
    <w:rsid w:val="00BD4FBC"/>
    <w:rsid w:val="00BD7453"/>
    <w:rsid w:val="00BE4C97"/>
    <w:rsid w:val="00BF5F9F"/>
    <w:rsid w:val="00C04243"/>
    <w:rsid w:val="00C06499"/>
    <w:rsid w:val="00C07777"/>
    <w:rsid w:val="00C14DE1"/>
    <w:rsid w:val="00C17099"/>
    <w:rsid w:val="00C21641"/>
    <w:rsid w:val="00C2373A"/>
    <w:rsid w:val="00C25EAB"/>
    <w:rsid w:val="00C30337"/>
    <w:rsid w:val="00C30CDB"/>
    <w:rsid w:val="00C31D1E"/>
    <w:rsid w:val="00C4137B"/>
    <w:rsid w:val="00C51955"/>
    <w:rsid w:val="00C559FC"/>
    <w:rsid w:val="00C651A2"/>
    <w:rsid w:val="00CA696E"/>
    <w:rsid w:val="00CB04B5"/>
    <w:rsid w:val="00CB115A"/>
    <w:rsid w:val="00CC17CA"/>
    <w:rsid w:val="00CC1BEC"/>
    <w:rsid w:val="00CC3176"/>
    <w:rsid w:val="00CC7E23"/>
    <w:rsid w:val="00CD117C"/>
    <w:rsid w:val="00CD1EFB"/>
    <w:rsid w:val="00CD2FD6"/>
    <w:rsid w:val="00CE06A5"/>
    <w:rsid w:val="00CE3E34"/>
    <w:rsid w:val="00CE4F36"/>
    <w:rsid w:val="00CE7178"/>
    <w:rsid w:val="00CF015B"/>
    <w:rsid w:val="00CF2A91"/>
    <w:rsid w:val="00CF7620"/>
    <w:rsid w:val="00D018A5"/>
    <w:rsid w:val="00D023B4"/>
    <w:rsid w:val="00D139C9"/>
    <w:rsid w:val="00D13CB5"/>
    <w:rsid w:val="00D15767"/>
    <w:rsid w:val="00D16680"/>
    <w:rsid w:val="00D32138"/>
    <w:rsid w:val="00D4180B"/>
    <w:rsid w:val="00D41E7E"/>
    <w:rsid w:val="00D429E4"/>
    <w:rsid w:val="00D45B34"/>
    <w:rsid w:val="00D46F36"/>
    <w:rsid w:val="00D52479"/>
    <w:rsid w:val="00D631C0"/>
    <w:rsid w:val="00D7659B"/>
    <w:rsid w:val="00D767D0"/>
    <w:rsid w:val="00D805BF"/>
    <w:rsid w:val="00D976BE"/>
    <w:rsid w:val="00DB0AC9"/>
    <w:rsid w:val="00DB4C70"/>
    <w:rsid w:val="00DB68CE"/>
    <w:rsid w:val="00DC2F3C"/>
    <w:rsid w:val="00DC4262"/>
    <w:rsid w:val="00DC4CF7"/>
    <w:rsid w:val="00DF729A"/>
    <w:rsid w:val="00DF7D8B"/>
    <w:rsid w:val="00E138C7"/>
    <w:rsid w:val="00E17C14"/>
    <w:rsid w:val="00E21091"/>
    <w:rsid w:val="00E2225D"/>
    <w:rsid w:val="00E23E08"/>
    <w:rsid w:val="00E27FC1"/>
    <w:rsid w:val="00E30291"/>
    <w:rsid w:val="00E32606"/>
    <w:rsid w:val="00E33C06"/>
    <w:rsid w:val="00E40272"/>
    <w:rsid w:val="00E40E1C"/>
    <w:rsid w:val="00E51E46"/>
    <w:rsid w:val="00E574B8"/>
    <w:rsid w:val="00E66829"/>
    <w:rsid w:val="00E76A0E"/>
    <w:rsid w:val="00E814E0"/>
    <w:rsid w:val="00E959CA"/>
    <w:rsid w:val="00EA1BA3"/>
    <w:rsid w:val="00EA36F0"/>
    <w:rsid w:val="00EB0C34"/>
    <w:rsid w:val="00EB1077"/>
    <w:rsid w:val="00EC0705"/>
    <w:rsid w:val="00ED2806"/>
    <w:rsid w:val="00ED5D41"/>
    <w:rsid w:val="00ED5E14"/>
    <w:rsid w:val="00EE0257"/>
    <w:rsid w:val="00EE3804"/>
    <w:rsid w:val="00EE6E20"/>
    <w:rsid w:val="00EF4F4A"/>
    <w:rsid w:val="00EF54C2"/>
    <w:rsid w:val="00F07A01"/>
    <w:rsid w:val="00F13BD4"/>
    <w:rsid w:val="00F21397"/>
    <w:rsid w:val="00F241A1"/>
    <w:rsid w:val="00F2687E"/>
    <w:rsid w:val="00F318CB"/>
    <w:rsid w:val="00F36F88"/>
    <w:rsid w:val="00F41795"/>
    <w:rsid w:val="00F4202A"/>
    <w:rsid w:val="00F46557"/>
    <w:rsid w:val="00F56CE4"/>
    <w:rsid w:val="00F600F2"/>
    <w:rsid w:val="00F61B65"/>
    <w:rsid w:val="00F6628A"/>
    <w:rsid w:val="00F67D60"/>
    <w:rsid w:val="00F70B56"/>
    <w:rsid w:val="00F71253"/>
    <w:rsid w:val="00F71794"/>
    <w:rsid w:val="00F735A4"/>
    <w:rsid w:val="00F75C7A"/>
    <w:rsid w:val="00F84665"/>
    <w:rsid w:val="00FA5585"/>
    <w:rsid w:val="00FB3C53"/>
    <w:rsid w:val="00FB3D4F"/>
    <w:rsid w:val="00FB50C2"/>
    <w:rsid w:val="00FC22C9"/>
    <w:rsid w:val="00FC3846"/>
    <w:rsid w:val="00FC47D6"/>
    <w:rsid w:val="00FE30AD"/>
    <w:rsid w:val="00FF0C32"/>
    <w:rsid w:val="00FF5E9A"/>
    <w:rsid w:val="00FF7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3D090F9"/>
  <w15:chartTrackingRefBased/>
  <w15:docId w15:val="{B1FB7826-87AF-4E83-A912-2801E5E0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88"/>
  </w:style>
  <w:style w:type="paragraph" w:styleId="Heading1">
    <w:name w:val="heading 1"/>
    <w:basedOn w:val="Normal"/>
    <w:next w:val="Normal"/>
    <w:link w:val="Heading1Char"/>
    <w:qFormat/>
    <w:rsid w:val="007F675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7F675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7F675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7F675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C0EFA"/>
    <w:rPr>
      <w:color w:val="0000FF"/>
      <w:shd w:val="clear" w:color="auto" w:fill="auto"/>
    </w:rPr>
  </w:style>
  <w:style w:type="paragraph" w:styleId="Header">
    <w:name w:val="header"/>
    <w:basedOn w:val="Normal"/>
    <w:link w:val="HeaderChar"/>
    <w:uiPriority w:val="99"/>
    <w:unhideWhenUsed/>
    <w:rsid w:val="002C0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EFA"/>
  </w:style>
  <w:style w:type="paragraph" w:styleId="Footer">
    <w:name w:val="footer"/>
    <w:basedOn w:val="Normal"/>
    <w:link w:val="FooterChar"/>
    <w:uiPriority w:val="99"/>
    <w:unhideWhenUsed/>
    <w:rsid w:val="002C0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EFA"/>
  </w:style>
  <w:style w:type="paragraph" w:customStyle="1" w:styleId="Pagedecouverture">
    <w:name w:val="Page de couverture"/>
    <w:basedOn w:val="Normal"/>
    <w:next w:val="Normal"/>
    <w:rsid w:val="002C0EF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C0EF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C0EFA"/>
    <w:rPr>
      <w:rFonts w:ascii="Times New Roman" w:hAnsi="Times New Roman" w:cs="Times New Roman"/>
      <w:sz w:val="24"/>
    </w:rPr>
  </w:style>
  <w:style w:type="paragraph" w:customStyle="1" w:styleId="FooterSensitivity">
    <w:name w:val="Footer Sensitivity"/>
    <w:basedOn w:val="Normal"/>
    <w:link w:val="FooterSensitivityChar"/>
    <w:rsid w:val="002C0EF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C0EFA"/>
    <w:rPr>
      <w:rFonts w:ascii="Times New Roman" w:hAnsi="Times New Roman" w:cs="Times New Roman"/>
      <w:b/>
      <w:sz w:val="32"/>
    </w:rPr>
  </w:style>
  <w:style w:type="paragraph" w:customStyle="1" w:styleId="HeaderCoverPage">
    <w:name w:val="Header Cover Page"/>
    <w:basedOn w:val="Normal"/>
    <w:link w:val="HeaderCoverPageChar"/>
    <w:rsid w:val="002C0EF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C0EFA"/>
    <w:rPr>
      <w:rFonts w:ascii="Times New Roman" w:hAnsi="Times New Roman" w:cs="Times New Roman"/>
      <w:sz w:val="24"/>
    </w:rPr>
  </w:style>
  <w:style w:type="paragraph" w:customStyle="1" w:styleId="HeaderSensitivity">
    <w:name w:val="Header Sensitivity"/>
    <w:basedOn w:val="Normal"/>
    <w:link w:val="HeaderSensitivityChar"/>
    <w:rsid w:val="002C0EF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C0EFA"/>
    <w:rPr>
      <w:rFonts w:ascii="Times New Roman" w:hAnsi="Times New Roman" w:cs="Times New Roman"/>
      <w:b/>
      <w:sz w:val="32"/>
    </w:rPr>
  </w:style>
  <w:style w:type="paragraph" w:customStyle="1" w:styleId="HeaderSensitivityRight">
    <w:name w:val="Header Sensitivity Right"/>
    <w:basedOn w:val="Normal"/>
    <w:link w:val="HeaderSensitivityRightChar"/>
    <w:rsid w:val="002C0EF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C0EFA"/>
    <w:rPr>
      <w:rFonts w:ascii="Times New Roman" w:hAnsi="Times New Roman" w:cs="Times New Roman"/>
      <w:sz w:val="28"/>
    </w:rPr>
  </w:style>
  <w:style w:type="character" w:customStyle="1" w:styleId="Heading1Char">
    <w:name w:val="Heading 1 Char"/>
    <w:basedOn w:val="DefaultParagraphFont"/>
    <w:link w:val="Heading1"/>
    <w:rsid w:val="007F6754"/>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7F675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F6754"/>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7F6754"/>
    <w:rPr>
      <w:rFonts w:ascii="Times New Roman" w:eastAsia="Times New Roman" w:hAnsi="Times New Roman" w:cs="Times New Roman"/>
      <w:sz w:val="24"/>
      <w:szCs w:val="20"/>
    </w:rPr>
  </w:style>
  <w:style w:type="character" w:styleId="Hyperlink">
    <w:name w:val="Hyperlink"/>
    <w:basedOn w:val="DefaultParagraphFont"/>
    <w:uiPriority w:val="99"/>
    <w:unhideWhenUsed/>
    <w:qFormat/>
    <w:rsid w:val="007F6754"/>
    <w:rPr>
      <w:color w:val="0563C1" w:themeColor="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7F6754"/>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7F6754"/>
    <w:rPr>
      <w:rFonts w:ascii="Times New Roman" w:eastAsiaTheme="minorEastAsia" w:hAnsi="Times New Roman" w:cs="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7F6754"/>
    <w:rPr>
      <w:vertAlign w:val="superscript"/>
    </w:rPr>
  </w:style>
  <w:style w:type="paragraph" w:customStyle="1" w:styleId="CharCharChar1">
    <w:name w:val="Char Char Char1"/>
    <w:basedOn w:val="Normal"/>
    <w:link w:val="FootnoteReference"/>
    <w:uiPriority w:val="99"/>
    <w:rsid w:val="007F6754"/>
    <w:pPr>
      <w:spacing w:after="160" w:line="240" w:lineRule="exact"/>
      <w:jc w:val="both"/>
    </w:pPr>
    <w:rPr>
      <w:vertAlign w:val="superscript"/>
    </w:rPr>
  </w:style>
  <w:style w:type="character" w:styleId="FollowedHyperlink">
    <w:name w:val="FollowedHyperlink"/>
    <w:basedOn w:val="DefaultParagraphFont"/>
    <w:uiPriority w:val="99"/>
    <w:semiHidden/>
    <w:unhideWhenUsed/>
    <w:rsid w:val="00FF712E"/>
    <w:rPr>
      <w:color w:val="954F72" w:themeColor="followedHyperlink"/>
      <w:u w:val="single"/>
    </w:rPr>
  </w:style>
  <w:style w:type="character" w:styleId="Strong">
    <w:name w:val="Strong"/>
    <w:basedOn w:val="DefaultParagraphFont"/>
    <w:uiPriority w:val="22"/>
    <w:qFormat/>
    <w:rsid w:val="00835A24"/>
    <w:rPr>
      <w:b/>
      <w:bCs/>
    </w:rPr>
  </w:style>
  <w:style w:type="paragraph" w:customStyle="1" w:styleId="Text2">
    <w:name w:val="Text 2"/>
    <w:basedOn w:val="Normal"/>
    <w:rsid w:val="00517B69"/>
    <w:pPr>
      <w:spacing w:before="120" w:after="120" w:line="240" w:lineRule="auto"/>
      <w:ind w:left="1417"/>
      <w:jc w:val="both"/>
    </w:pPr>
    <w:rPr>
      <w:rFonts w:ascii="Times New Roman" w:hAnsi="Times New Roman" w:cs="Times New Roman"/>
      <w:sz w:val="24"/>
    </w:rPr>
  </w:style>
  <w:style w:type="paragraph" w:styleId="ListParagraph">
    <w:name w:val="List Paragraph"/>
    <w:basedOn w:val="Normal"/>
    <w:uiPriority w:val="34"/>
    <w:qFormat/>
    <w:rsid w:val="00B20DC0"/>
    <w:pPr>
      <w:ind w:left="720"/>
      <w:contextualSpacing/>
    </w:pPr>
  </w:style>
  <w:style w:type="table" w:customStyle="1" w:styleId="CV13">
    <w:name w:val="CV13"/>
    <w:basedOn w:val="TableNormal"/>
    <w:next w:val="TableGrid"/>
    <w:uiPriority w:val="39"/>
    <w:rsid w:val="000B04D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Document Table"/>
    <w:basedOn w:val="TableNormal"/>
    <w:uiPriority w:val="59"/>
    <w:rsid w:val="000B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4F4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826A8"/>
    <w:pPr>
      <w:spacing w:after="0" w:line="240" w:lineRule="auto"/>
    </w:pPr>
  </w:style>
  <w:style w:type="character" w:styleId="CommentReference">
    <w:name w:val="annotation reference"/>
    <w:basedOn w:val="DefaultParagraphFont"/>
    <w:uiPriority w:val="99"/>
    <w:semiHidden/>
    <w:unhideWhenUsed/>
    <w:rsid w:val="0004023C"/>
    <w:rPr>
      <w:sz w:val="16"/>
      <w:szCs w:val="16"/>
    </w:rPr>
  </w:style>
  <w:style w:type="paragraph" w:styleId="CommentText">
    <w:name w:val="annotation text"/>
    <w:basedOn w:val="Normal"/>
    <w:link w:val="CommentTextChar"/>
    <w:uiPriority w:val="99"/>
    <w:unhideWhenUsed/>
    <w:rsid w:val="0004023C"/>
    <w:pPr>
      <w:spacing w:line="240" w:lineRule="auto"/>
    </w:pPr>
    <w:rPr>
      <w:sz w:val="20"/>
      <w:szCs w:val="20"/>
    </w:rPr>
  </w:style>
  <w:style w:type="character" w:customStyle="1" w:styleId="CommentTextChar">
    <w:name w:val="Comment Text Char"/>
    <w:basedOn w:val="DefaultParagraphFont"/>
    <w:link w:val="CommentText"/>
    <w:uiPriority w:val="99"/>
    <w:rsid w:val="0004023C"/>
    <w:rPr>
      <w:sz w:val="20"/>
      <w:szCs w:val="20"/>
    </w:rPr>
  </w:style>
  <w:style w:type="paragraph" w:styleId="CommentSubject">
    <w:name w:val="annotation subject"/>
    <w:basedOn w:val="CommentText"/>
    <w:next w:val="CommentText"/>
    <w:link w:val="CommentSubjectChar"/>
    <w:uiPriority w:val="99"/>
    <w:semiHidden/>
    <w:unhideWhenUsed/>
    <w:rsid w:val="0004023C"/>
    <w:rPr>
      <w:b/>
      <w:bCs/>
    </w:rPr>
  </w:style>
  <w:style w:type="character" w:customStyle="1" w:styleId="CommentSubjectChar">
    <w:name w:val="Comment Subject Char"/>
    <w:basedOn w:val="CommentTextChar"/>
    <w:link w:val="CommentSubject"/>
    <w:uiPriority w:val="99"/>
    <w:semiHidden/>
    <w:rsid w:val="0004023C"/>
    <w:rPr>
      <w:b/>
      <w:bCs/>
      <w:sz w:val="20"/>
      <w:szCs w:val="20"/>
    </w:rPr>
  </w:style>
  <w:style w:type="character" w:styleId="UnresolvedMention">
    <w:name w:val="Unresolved Mention"/>
    <w:basedOn w:val="DefaultParagraphFont"/>
    <w:uiPriority w:val="99"/>
    <w:semiHidden/>
    <w:unhideWhenUsed/>
    <w:rsid w:val="00A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760/340944" TargetMode="External"/><Relationship Id="rId3" Type="http://schemas.openxmlformats.org/officeDocument/2006/relationships/hyperlink" Target="https://eur-lex.europa.eu/legal-content/EN/TXT/?uri=COM%3A2019%3A640%3AFIN" TargetMode="External"/><Relationship Id="rId7" Type="http://schemas.openxmlformats.org/officeDocument/2006/relationships/hyperlink" Target="file:///\\net1.cec.eu.int\ENER\B\3\2%20Products\Products\16%20Tumble%20dryers\!%20REVIEW\Legal%20act%20Energy%20labelling%20TD\Annex%20on%20reparability%20score\SWD\%20Analysis%20and%20development%20of%20a%20scoring%20system%20for%20repair%20and%20upgrade%20of%20products%20&#8211;%20Final%20report,%20Publications%20Office,%202019," TargetMode="External"/><Relationship Id="rId2" Type="http://schemas.openxmlformats.org/officeDocument/2006/relationships/hyperlink" Target="http://data.europa.eu/eli/reg_del/2023/2534/oj" TargetMode="External"/><Relationship Id="rId1" Type="http://schemas.openxmlformats.org/officeDocument/2006/relationships/hyperlink" Target="http://data.europa.eu/eli/reg/2023/2533/oj" TargetMode="External"/><Relationship Id="rId6" Type="http://schemas.openxmlformats.org/officeDocument/2006/relationships/hyperlink" Target="https://eur-lex.europa.eu/legal-content/EN/TXT/PDF/?uri=CELEX:52015DC0614&amp;from=EN" TargetMode="External"/><Relationship Id="rId5" Type="http://schemas.openxmlformats.org/officeDocument/2006/relationships/hyperlink" Target="https://eur-lex.europa.eu/legal-content/EN/TXT/?uri=COM:2020:98:FIN&amp;WT.mc_id=Twitter" TargetMode="External"/><Relationship Id="rId4" Type="http://schemas.openxmlformats.org/officeDocument/2006/relationships/hyperlink" Target="https://sdgs.un.org/2030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B2F7-2097-4411-A79A-09FD1D1F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5843</Words>
  <Characters>31262</Characters>
  <Application>Microsoft Office Word</Application>
  <DocSecurity>0</DocSecurity>
  <Lines>868</Lines>
  <Paragraphs>562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Bernardo (ENER)</dc:creator>
  <cp:keywords/>
  <dc:description/>
  <cp:lastModifiedBy>SOKOLOWSKA Aneta (ENER)</cp:lastModifiedBy>
  <cp:revision>2</cp:revision>
  <dcterms:created xsi:type="dcterms:W3CDTF">2024-02-16T11:02:00Z</dcterms:created>
  <dcterms:modified xsi:type="dcterms:W3CDTF">2024-02-16T11:02:00Z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2023-09-08T12:23:22Z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dc7e87b1-f7f4-4b60-82b8-bc404bffbc07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CP-025</vt:lpwstr>
  </property>
  <property fmtid="{D5CDD505-2E9C-101B-9397-08002B2CF9AE}" pid="14" name="Last edited using">
    <vt:lpwstr>LW 9.0, Build 20230317</vt:lpwstr>
  </property>
  <property fmtid="{D5CDD505-2E9C-101B-9397-08002B2CF9AE}" pid="15" name="Created using">
    <vt:lpwstr>LW 9.0, Build 20230317</vt:lpwstr>
  </property>
</Properties>
</file>