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BC6F" w14:textId="7F7CACB6" w:rsidR="00533BBC" w:rsidRPr="0087131A" w:rsidRDefault="005D5DBB" w:rsidP="00533BBC">
      <w:pPr>
        <w:pStyle w:val="Notattittel"/>
        <w:rPr>
          <w:rFonts w:eastAsiaTheme="minorEastAsia" w:cs="Times"/>
        </w:rPr>
      </w:pPr>
      <w:sdt>
        <w:sdtPr>
          <w:rPr>
            <w:rFonts w:eastAsiaTheme="minorEastAsia" w:cs="Times"/>
          </w:rPr>
          <w:tag w:val="Title"/>
          <w:id w:val="-1368050637"/>
          <w:placeholder>
            <w:docPart w:val="67A53046D2CF495B85CC70B9056E714F"/>
          </w:placeholder>
          <w:dataBinding w:prefixMappings="xmlns:gbs='http://www.software-innovation.no/growBusinessDocument'" w:xpath="/gbs:GrowBusinessDocument/gbs:Title[@gbs:key='2926916659']" w:storeItemID="{323AD505-F6E2-4B82-9542-EA15E8E4BD39}"/>
          <w:text/>
        </w:sdtPr>
        <w:sdtContent>
          <w:r w:rsidR="0050465F" w:rsidRPr="0087131A">
            <w:rPr>
              <w:rFonts w:eastAsiaTheme="minorEastAsia" w:cs="Times"/>
            </w:rPr>
            <w:t xml:space="preserve">Beskrivelse av </w:t>
          </w:r>
          <w:r w:rsidR="00F41E42" w:rsidRPr="0087131A">
            <w:rPr>
              <w:rFonts w:eastAsiaTheme="minorEastAsia" w:cs="Times"/>
            </w:rPr>
            <w:t>NVEs modelldatasett for det norske vannkraftsystemet</w:t>
          </w:r>
        </w:sdtContent>
      </w:sdt>
    </w:p>
    <w:p w14:paraId="0934BC70" w14:textId="32751085" w:rsidR="00533BBC" w:rsidRPr="0087131A" w:rsidRDefault="00533BBC" w:rsidP="00533BBC">
      <w:pPr>
        <w:pStyle w:val="Brdtekst"/>
      </w:pPr>
      <w:bookmarkStart w:id="0" w:name="BmSkrivestart"/>
      <w:bookmarkEnd w:id="0"/>
      <w:r w:rsidRPr="0087131A">
        <w:t>NVE har en vannkraftmodell for hele landet som inneholder alle store kraftverk (≥10 MW) og kraftverk som får regulert tilsig. Denne brukes for analyser med samkjøringsmodellen og som grunnlag til saksbehandling.</w:t>
      </w:r>
      <w:r w:rsidR="004978D2" w:rsidRPr="0087131A">
        <w:t xml:space="preserve"> </w:t>
      </w:r>
    </w:p>
    <w:p w14:paraId="25093C5C" w14:textId="77777777" w:rsidR="006C6F25" w:rsidRPr="0087131A" w:rsidRDefault="006C6F25" w:rsidP="006C6F25">
      <w:pPr>
        <w:pStyle w:val="Brdtekst"/>
      </w:pPr>
      <w:r w:rsidRPr="0087131A">
        <w:t>Hovedformålet med modellen er å gi en representativ midlere årsproduksjon gjennom modellering med ukesoppløsning. Inngangsparameterne (Tabell 1) blir valgt og justert deretter, og i noen tilfeller brukes det skjønn for å justere modellen slik at den oppfører seg slik som ønsket.</w:t>
      </w:r>
    </w:p>
    <w:p w14:paraId="0934BC74" w14:textId="77777777" w:rsidR="00533BBC" w:rsidRPr="0087131A" w:rsidRDefault="00533BBC" w:rsidP="00533BBC">
      <w:pPr>
        <w:pStyle w:val="Bildetekst"/>
        <w:keepNext/>
        <w:rPr>
          <w:rFonts w:cs="Times"/>
        </w:rPr>
      </w:pPr>
      <w:r w:rsidRPr="0087131A">
        <w:rPr>
          <w:rFonts w:cs="Times"/>
        </w:rPr>
        <w:t xml:space="preserve">Tabell </w:t>
      </w:r>
      <w:r w:rsidRPr="0087131A">
        <w:rPr>
          <w:rFonts w:cs="Times"/>
        </w:rPr>
        <w:fldChar w:fldCharType="begin"/>
      </w:r>
      <w:r w:rsidRPr="0087131A">
        <w:rPr>
          <w:rFonts w:cs="Times"/>
        </w:rPr>
        <w:instrText>SEQ Tabell \* ARABIC</w:instrText>
      </w:r>
      <w:r w:rsidRPr="0087131A">
        <w:rPr>
          <w:rFonts w:cs="Times"/>
        </w:rPr>
        <w:fldChar w:fldCharType="separate"/>
      </w:r>
      <w:r w:rsidRPr="0087131A">
        <w:rPr>
          <w:rFonts w:cs="Times"/>
          <w:noProof/>
        </w:rPr>
        <w:t>1</w:t>
      </w:r>
      <w:r w:rsidRPr="0087131A">
        <w:rPr>
          <w:rFonts w:cs="Times"/>
        </w:rPr>
        <w:fldChar w:fldCharType="end"/>
      </w:r>
      <w:r w:rsidRPr="0087131A">
        <w:rPr>
          <w:rFonts w:cs="Times"/>
        </w:rPr>
        <w:t>: Oversikt over inngangsparametere til modellen og kilder som blir brukt.</w:t>
      </w:r>
    </w:p>
    <w:tbl>
      <w:tblPr>
        <w:tblStyle w:val="Listetabell1lys"/>
        <w:tblW w:w="0" w:type="auto"/>
        <w:tblLook w:val="0420" w:firstRow="1" w:lastRow="0" w:firstColumn="0" w:lastColumn="0" w:noHBand="0" w:noVBand="1"/>
      </w:tblPr>
      <w:tblGrid>
        <w:gridCol w:w="2835"/>
        <w:gridCol w:w="4820"/>
      </w:tblGrid>
      <w:tr w:rsidR="00533BBC" w:rsidRPr="0087131A" w14:paraId="0934BC77" w14:textId="77777777" w:rsidTr="3201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835" w:type="dxa"/>
          </w:tcPr>
          <w:p w14:paraId="0934BC75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Parameter</w:t>
            </w:r>
          </w:p>
        </w:tc>
        <w:tc>
          <w:tcPr>
            <w:tcW w:w="4820" w:type="dxa"/>
          </w:tcPr>
          <w:p w14:paraId="0934BC76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Kilde</w:t>
            </w:r>
          </w:p>
        </w:tc>
      </w:tr>
      <w:tr w:rsidR="00533BBC" w:rsidRPr="0087131A" w14:paraId="0934BC7A" w14:textId="77777777" w:rsidTr="320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934BC78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Topologi</w:t>
            </w:r>
          </w:p>
        </w:tc>
        <w:tc>
          <w:tcPr>
            <w:tcW w:w="4820" w:type="dxa"/>
          </w:tcPr>
          <w:p w14:paraId="0934BC79" w14:textId="44295EE6" w:rsidR="00533BBC" w:rsidRPr="0087131A" w:rsidRDefault="005D5DBB" w:rsidP="00CC5D91">
            <w:pPr>
              <w:pStyle w:val="Brdtekst"/>
              <w:spacing w:line="220" w:lineRule="atLeast"/>
              <w:rPr>
                <w:sz w:val="18"/>
              </w:rPr>
            </w:pPr>
            <w:hyperlink r:id="rId8" w:history="1">
              <w:r w:rsidR="00533BBC" w:rsidRPr="0087131A">
                <w:rPr>
                  <w:rStyle w:val="Hyperkobling"/>
                  <w:sz w:val="18"/>
                </w:rPr>
                <w:t>NVE Atlas</w:t>
              </w:r>
            </w:hyperlink>
            <w:r w:rsidR="00533BBC" w:rsidRPr="0087131A">
              <w:rPr>
                <w:sz w:val="18"/>
              </w:rPr>
              <w:t xml:space="preserve">, </w:t>
            </w:r>
            <w:hyperlink r:id="rId9" w:history="1">
              <w:r w:rsidR="00533BBC" w:rsidRPr="0087131A">
                <w:rPr>
                  <w:rStyle w:val="Hyperkobling"/>
                  <w:sz w:val="18"/>
                </w:rPr>
                <w:t>konsesjonssøknad</w:t>
              </w:r>
              <w:r w:rsidR="009A7032" w:rsidRPr="0087131A">
                <w:rPr>
                  <w:rStyle w:val="Hyperkobling"/>
                  <w:sz w:val="18"/>
                </w:rPr>
                <w:t>er</w:t>
              </w:r>
            </w:hyperlink>
          </w:p>
        </w:tc>
      </w:tr>
      <w:tr w:rsidR="00533BBC" w:rsidRPr="0087131A" w14:paraId="0934BC7D" w14:textId="77777777" w:rsidTr="32011E78">
        <w:tc>
          <w:tcPr>
            <w:tcW w:w="2835" w:type="dxa"/>
          </w:tcPr>
          <w:p w14:paraId="0934BC7B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Magasinvolum</w:t>
            </w:r>
            <w:r w:rsidRPr="0087131A">
              <w:rPr>
                <w:sz w:val="18"/>
              </w:rPr>
              <w:br/>
              <w:t>LRV</w:t>
            </w:r>
            <w:r w:rsidRPr="0087131A">
              <w:rPr>
                <w:sz w:val="18"/>
              </w:rPr>
              <w:br/>
              <w:t>HRV</w:t>
            </w:r>
          </w:p>
        </w:tc>
        <w:tc>
          <w:tcPr>
            <w:tcW w:w="4820" w:type="dxa"/>
          </w:tcPr>
          <w:p w14:paraId="0934BC7C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 xml:space="preserve">Magasininformasjon fra NVEs database </w:t>
            </w:r>
            <w:r w:rsidRPr="0087131A">
              <w:rPr>
                <w:i/>
                <w:sz w:val="18"/>
              </w:rPr>
              <w:t>Sikkerhet i vassdrag</w:t>
            </w:r>
            <w:r w:rsidRPr="0087131A">
              <w:rPr>
                <w:sz w:val="18"/>
              </w:rPr>
              <w:t>. Databasen er ikke offentlig tilgjengelig, men den informasjonen som brukes i NVEs vannkraftmodell er tilgjengelig blant annet i NVE Atlas. I enkelte tilfeller brukes operative magasingrenser fra HYDRAII.</w:t>
            </w:r>
          </w:p>
        </w:tc>
      </w:tr>
      <w:tr w:rsidR="00533BBC" w:rsidRPr="0087131A" w14:paraId="0934BC80" w14:textId="77777777" w:rsidTr="320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tcW w:w="2835" w:type="dxa"/>
          </w:tcPr>
          <w:p w14:paraId="0934BC7E" w14:textId="5CDDC15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Energiekvivalent,</w:t>
            </w:r>
            <w:r w:rsidRPr="0087131A">
              <w:rPr>
                <w:sz w:val="18"/>
              </w:rPr>
              <w:br/>
            </w:r>
            <w:r w:rsidR="00C53267" w:rsidRPr="0087131A">
              <w:rPr>
                <w:sz w:val="18"/>
              </w:rPr>
              <w:t>maksimal slukeevne</w:t>
            </w:r>
            <w:r w:rsidRPr="0087131A">
              <w:rPr>
                <w:sz w:val="18"/>
              </w:rPr>
              <w:t>,</w:t>
            </w:r>
            <w:r w:rsidRPr="0087131A">
              <w:rPr>
                <w:sz w:val="18"/>
              </w:rPr>
              <w:br/>
            </w:r>
            <w:r w:rsidR="00C53267" w:rsidRPr="0087131A">
              <w:rPr>
                <w:sz w:val="18"/>
              </w:rPr>
              <w:t>m</w:t>
            </w:r>
            <w:r w:rsidRPr="0087131A">
              <w:rPr>
                <w:sz w:val="18"/>
              </w:rPr>
              <w:t>idlere bruttofallhøyde</w:t>
            </w:r>
          </w:p>
        </w:tc>
        <w:tc>
          <w:tcPr>
            <w:tcW w:w="4820" w:type="dxa"/>
          </w:tcPr>
          <w:p w14:paraId="0934BC7F" w14:textId="0369526D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NVEs vannkraftdatabase. Informasjonen som brukes er tilgjengelig i NVE Atlas, o</w:t>
            </w:r>
            <w:r w:rsidR="000C246E" w:rsidRPr="0087131A">
              <w:rPr>
                <w:sz w:val="18"/>
              </w:rPr>
              <w:t xml:space="preserve">g i </w:t>
            </w:r>
            <w:hyperlink r:id="rId10" w:history="1">
              <w:r w:rsidR="000C246E" w:rsidRPr="0087131A">
                <w:rPr>
                  <w:rStyle w:val="Hyperkobling"/>
                  <w:sz w:val="18"/>
                </w:rPr>
                <w:t>vannkraftdatabasen</w:t>
              </w:r>
            </w:hyperlink>
            <w:r w:rsidRPr="0087131A">
              <w:rPr>
                <w:sz w:val="18"/>
              </w:rPr>
              <w:t>. Informasjonen om kraftverkene stammer som regel fra idriftsettelsesskjema og konsesjonssøknad.</w:t>
            </w:r>
          </w:p>
        </w:tc>
      </w:tr>
      <w:tr w:rsidR="00533BBC" w:rsidRPr="0087131A" w14:paraId="0934BC83" w14:textId="77777777" w:rsidTr="32011E78">
        <w:trPr>
          <w:trHeight w:val="324"/>
        </w:trPr>
        <w:tc>
          <w:tcPr>
            <w:tcW w:w="2835" w:type="dxa"/>
          </w:tcPr>
          <w:p w14:paraId="0934BC81" w14:textId="20B3F9E2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 xml:space="preserve">Midlere </w:t>
            </w:r>
            <w:r w:rsidR="00CF54F4" w:rsidRPr="0087131A">
              <w:rPr>
                <w:sz w:val="18"/>
              </w:rPr>
              <w:t>års</w:t>
            </w:r>
            <w:r w:rsidRPr="0087131A">
              <w:rPr>
                <w:sz w:val="18"/>
              </w:rPr>
              <w:t>tilsig</w:t>
            </w:r>
          </w:p>
        </w:tc>
        <w:tc>
          <w:tcPr>
            <w:tcW w:w="4820" w:type="dxa"/>
          </w:tcPr>
          <w:p w14:paraId="0934BC82" w14:textId="59C1D22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NVEs avrenningskart ref. 19</w:t>
            </w:r>
            <w:r w:rsidR="000C246E" w:rsidRPr="0087131A">
              <w:rPr>
                <w:sz w:val="18"/>
              </w:rPr>
              <w:t>91</w:t>
            </w:r>
            <w:r w:rsidRPr="0087131A">
              <w:rPr>
                <w:sz w:val="18"/>
              </w:rPr>
              <w:t>-</w:t>
            </w:r>
            <w:r w:rsidR="000C246E" w:rsidRPr="0087131A">
              <w:rPr>
                <w:sz w:val="18"/>
              </w:rPr>
              <w:t>2020</w:t>
            </w:r>
            <w:r w:rsidRPr="0087131A">
              <w:rPr>
                <w:sz w:val="18"/>
              </w:rPr>
              <w:t xml:space="preserve">. </w:t>
            </w:r>
            <w:r w:rsidR="000C246E" w:rsidRPr="0087131A">
              <w:rPr>
                <w:sz w:val="18"/>
              </w:rPr>
              <w:br/>
            </w:r>
            <w:r w:rsidRPr="0087131A">
              <w:rPr>
                <w:sz w:val="18"/>
              </w:rPr>
              <w:t xml:space="preserve">Datasettet kan lastes ned fra </w:t>
            </w:r>
            <w:hyperlink r:id="rId11" w:history="1">
              <w:r w:rsidRPr="0087131A">
                <w:rPr>
                  <w:rStyle w:val="Hyperkobling"/>
                  <w:sz w:val="18"/>
                </w:rPr>
                <w:t>http://nedlasting.nve.no/gis/</w:t>
              </w:r>
            </w:hyperlink>
            <w:r w:rsidRPr="0087131A">
              <w:rPr>
                <w:sz w:val="18"/>
              </w:rPr>
              <w:t>)</w:t>
            </w:r>
          </w:p>
        </w:tc>
      </w:tr>
      <w:tr w:rsidR="00533BBC" w:rsidRPr="0087131A" w14:paraId="0934BC86" w14:textId="77777777" w:rsidTr="320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934BC84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Tilsigsserie</w:t>
            </w:r>
          </w:p>
        </w:tc>
        <w:tc>
          <w:tcPr>
            <w:tcW w:w="4820" w:type="dxa"/>
          </w:tcPr>
          <w:p w14:paraId="0934BC85" w14:textId="77A0EAAC" w:rsidR="00533BBC" w:rsidRPr="0087131A" w:rsidRDefault="49FEF14B" w:rsidP="41966706">
            <w:pPr>
              <w:pStyle w:val="Brdtekst"/>
              <w:spacing w:after="0"/>
            </w:pPr>
            <w:r w:rsidRPr="0087131A">
              <w:rPr>
                <w:sz w:val="18"/>
                <w:szCs w:val="18"/>
              </w:rPr>
              <w:t>Vurdering av egnet nedbørsfelt fra Hydrologisk avdeling i NVE.</w:t>
            </w:r>
            <w:r w:rsidR="00533BBC" w:rsidRPr="0087131A">
              <w:br/>
            </w:r>
            <w:r w:rsidR="45FBE241" w:rsidRPr="0087131A">
              <w:rPr>
                <w:sz w:val="18"/>
                <w:szCs w:val="18"/>
              </w:rPr>
              <w:t xml:space="preserve">Kan lastes ned fra </w:t>
            </w:r>
            <w:hyperlink r:id="rId12">
              <w:r w:rsidR="45FBE241" w:rsidRPr="0087131A">
                <w:rPr>
                  <w:rStyle w:val="Hyperkobling"/>
                  <w:sz w:val="18"/>
                  <w:szCs w:val="18"/>
                </w:rPr>
                <w:t>denne siden</w:t>
              </w:r>
            </w:hyperlink>
            <w:r w:rsidR="45FBE241" w:rsidRPr="0087131A">
              <w:rPr>
                <w:sz w:val="18"/>
                <w:szCs w:val="18"/>
              </w:rPr>
              <w:t>.</w:t>
            </w:r>
          </w:p>
        </w:tc>
      </w:tr>
      <w:tr w:rsidR="00533BBC" w:rsidRPr="0087131A" w14:paraId="0934BC89" w14:textId="77777777" w:rsidTr="32011E78">
        <w:tc>
          <w:tcPr>
            <w:tcW w:w="2835" w:type="dxa"/>
          </w:tcPr>
          <w:p w14:paraId="0934BC87" w14:textId="7169C778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Magasinrestriksjoner,</w:t>
            </w:r>
            <w:r w:rsidRPr="0087131A">
              <w:rPr>
                <w:sz w:val="18"/>
              </w:rPr>
              <w:br/>
            </w:r>
            <w:r w:rsidR="00141550" w:rsidRPr="0087131A">
              <w:rPr>
                <w:sz w:val="18"/>
              </w:rPr>
              <w:t>m</w:t>
            </w:r>
            <w:r w:rsidRPr="0087131A">
              <w:rPr>
                <w:sz w:val="18"/>
              </w:rPr>
              <w:t>instevannføringer</w:t>
            </w:r>
          </w:p>
        </w:tc>
        <w:tc>
          <w:tcPr>
            <w:tcW w:w="4820" w:type="dxa"/>
          </w:tcPr>
          <w:p w14:paraId="0934BC88" w14:textId="15008A29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NVEs konsesjonsdatabase. De restriksjonene og manøvreringsreglementene som legges inn i modellen er offentlig tilgjengelig i konsesjonsvilkårene.</w:t>
            </w:r>
            <w:r w:rsidR="00685372" w:rsidRPr="0087131A">
              <w:rPr>
                <w:sz w:val="18"/>
              </w:rPr>
              <w:t xml:space="preserve"> Selvpålagte krav og krav som er satt i skjønn er ikke lagt inn i modellen.</w:t>
            </w:r>
          </w:p>
        </w:tc>
      </w:tr>
      <w:tr w:rsidR="00533BBC" w:rsidRPr="0087131A" w14:paraId="0934BC8C" w14:textId="77777777" w:rsidTr="320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934BC8A" w14:textId="77777777" w:rsidR="00533BBC" w:rsidRPr="0087131A" w:rsidRDefault="00533BBC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PQ-kurve</w:t>
            </w:r>
          </w:p>
        </w:tc>
        <w:tc>
          <w:tcPr>
            <w:tcW w:w="4820" w:type="dxa"/>
          </w:tcPr>
          <w:p w14:paraId="0934BC8B" w14:textId="120660C8" w:rsidR="00533BBC" w:rsidRPr="0087131A" w:rsidRDefault="00521800" w:rsidP="00CC5D91">
            <w:pPr>
              <w:pStyle w:val="Brdtekst"/>
              <w:spacing w:line="220" w:lineRule="atLeast"/>
              <w:rPr>
                <w:sz w:val="18"/>
              </w:rPr>
            </w:pPr>
            <w:r w:rsidRPr="0087131A">
              <w:rPr>
                <w:sz w:val="18"/>
              </w:rPr>
              <w:t>To</w:t>
            </w:r>
            <w:r w:rsidR="00533BBC" w:rsidRPr="0087131A">
              <w:rPr>
                <w:sz w:val="18"/>
              </w:rPr>
              <w:t>-punkt</w:t>
            </w:r>
            <w:r w:rsidRPr="0087131A">
              <w:rPr>
                <w:sz w:val="18"/>
              </w:rPr>
              <w:t>s</w:t>
            </w:r>
            <w:r w:rsidR="00533BBC" w:rsidRPr="0087131A">
              <w:rPr>
                <w:sz w:val="18"/>
              </w:rPr>
              <w:t xml:space="preserve"> lineær kurve beregnet ut fra maks</w:t>
            </w:r>
            <w:r w:rsidR="00AA553B" w:rsidRPr="0087131A">
              <w:rPr>
                <w:sz w:val="18"/>
              </w:rPr>
              <w:t>imal</w:t>
            </w:r>
            <w:r w:rsidR="00533BBC" w:rsidRPr="0087131A">
              <w:rPr>
                <w:sz w:val="18"/>
              </w:rPr>
              <w:t xml:space="preserve"> vannføring og energiekvivalent</w:t>
            </w:r>
          </w:p>
        </w:tc>
      </w:tr>
    </w:tbl>
    <w:p w14:paraId="0934BC8D" w14:textId="77777777" w:rsidR="000877BA" w:rsidRPr="0087131A" w:rsidRDefault="00040C40" w:rsidP="000877BA">
      <w:pPr>
        <w:pStyle w:val="Brdtekst"/>
      </w:pPr>
      <w:r w:rsidRPr="0087131A">
        <w:t xml:space="preserve"> </w:t>
      </w:r>
    </w:p>
    <w:p w14:paraId="3C6D4797" w14:textId="12ACF8FB" w:rsidR="32011E78" w:rsidRPr="0087131A" w:rsidRDefault="32011E78">
      <w:pPr>
        <w:rPr>
          <w:rFonts w:cs="Times"/>
        </w:rPr>
      </w:pPr>
      <w:r w:rsidRPr="0087131A">
        <w:rPr>
          <w:rFonts w:cs="Times"/>
        </w:rPr>
        <w:br w:type="page"/>
      </w:r>
    </w:p>
    <w:p w14:paraId="273F4B3E" w14:textId="75733E78" w:rsidR="000B331A" w:rsidRPr="0087131A" w:rsidRDefault="009F54FF" w:rsidP="000B331A">
      <w:pPr>
        <w:pStyle w:val="Overskrift1"/>
      </w:pPr>
      <w:r w:rsidRPr="0087131A">
        <w:lastRenderedPageBreak/>
        <w:t>Innhold i</w:t>
      </w:r>
      <w:r w:rsidR="000B331A" w:rsidRPr="0087131A">
        <w:t xml:space="preserve"> datasettene</w:t>
      </w:r>
    </w:p>
    <w:p w14:paraId="353852DD" w14:textId="592947A2" w:rsidR="00756055" w:rsidRPr="0087131A" w:rsidRDefault="35CA451F" w:rsidP="42FF2A44">
      <w:pPr>
        <w:pStyle w:val="Listeavsnitt"/>
        <w:numPr>
          <w:ilvl w:val="0"/>
          <w:numId w:val="5"/>
        </w:numPr>
        <w:spacing w:after="240"/>
        <w:rPr>
          <w:rFonts w:ascii="Times" w:eastAsia="Times New Roman" w:hAnsi="Times" w:cs="Times"/>
        </w:rPr>
      </w:pPr>
      <w:r w:rsidRPr="0087131A">
        <w:rPr>
          <w:rFonts w:ascii="Times" w:eastAsia="Times New Roman" w:hAnsi="Times" w:cs="Times"/>
        </w:rPr>
        <w:t xml:space="preserve">DETD_vassdrag inneholder detd-filer per vassdrag for kraftverk satt i drift innen 31.12.2021. </w:t>
      </w:r>
      <w:r w:rsidR="6FE04121" w:rsidRPr="0087131A">
        <w:rPr>
          <w:rFonts w:ascii="Times" w:hAnsi="Times" w:cs="Times"/>
        </w:rPr>
        <w:br/>
      </w:r>
      <w:r w:rsidRPr="0087131A">
        <w:rPr>
          <w:rFonts w:ascii="Times" w:eastAsia="Times New Roman" w:hAnsi="Times" w:cs="Times"/>
        </w:rPr>
        <w:t xml:space="preserve">Større kraftverk (&gt; 10 MW) og mindre kraftverk som utnytter regulert tilsig er inkludert. </w:t>
      </w:r>
      <w:r w:rsidR="6FE04121" w:rsidRPr="0087131A">
        <w:rPr>
          <w:rFonts w:ascii="Times" w:hAnsi="Times" w:cs="Times"/>
        </w:rPr>
        <w:br/>
      </w:r>
      <w:r w:rsidRPr="0087131A">
        <w:rPr>
          <w:rFonts w:ascii="Times" w:eastAsia="Times New Roman" w:hAnsi="Times" w:cs="Times"/>
        </w:rPr>
        <w:t>Filene inneholder om lag 700 kraftverk med en samlet produksjon på omtrent 12</w:t>
      </w:r>
      <w:r w:rsidR="12925063" w:rsidRPr="0087131A">
        <w:rPr>
          <w:rFonts w:ascii="Times" w:eastAsia="Times New Roman" w:hAnsi="Times" w:cs="Times"/>
        </w:rPr>
        <w:t>7</w:t>
      </w:r>
      <w:r w:rsidRPr="0087131A">
        <w:rPr>
          <w:rFonts w:ascii="Times" w:eastAsia="Times New Roman" w:hAnsi="Times" w:cs="Times"/>
        </w:rPr>
        <w:t xml:space="preserve"> TWh.</w:t>
      </w:r>
      <w:r w:rsidR="41F35E21" w:rsidRPr="0087131A">
        <w:rPr>
          <w:rFonts w:ascii="Times" w:eastAsia="Times New Roman" w:hAnsi="Times" w:cs="Times"/>
        </w:rPr>
        <w:t xml:space="preserve"> De resterende </w:t>
      </w:r>
      <w:r w:rsidR="00326711" w:rsidRPr="0087131A">
        <w:rPr>
          <w:rFonts w:ascii="Times" w:eastAsia="Times New Roman" w:hAnsi="Times" w:cs="Times"/>
        </w:rPr>
        <w:t>7</w:t>
      </w:r>
      <w:r w:rsidR="41F35E21" w:rsidRPr="0087131A">
        <w:rPr>
          <w:rFonts w:ascii="Times" w:eastAsia="Times New Roman" w:hAnsi="Times" w:cs="Times"/>
        </w:rPr>
        <w:t xml:space="preserve"> TWh med småkraft er ikke inkludert i disse filene.</w:t>
      </w:r>
      <w:r w:rsidR="6FE04121" w:rsidRPr="0087131A">
        <w:rPr>
          <w:rFonts w:ascii="Times" w:hAnsi="Times" w:cs="Times"/>
        </w:rPr>
        <w:br/>
      </w:r>
    </w:p>
    <w:p w14:paraId="78910DDD" w14:textId="49385BF7" w:rsidR="00756055" w:rsidRPr="0087131A" w:rsidRDefault="5A488249" w:rsidP="42FF2A44">
      <w:pPr>
        <w:pStyle w:val="Listeavsnitt"/>
        <w:numPr>
          <w:ilvl w:val="0"/>
          <w:numId w:val="5"/>
        </w:numPr>
        <w:spacing w:after="240"/>
        <w:rPr>
          <w:rFonts w:ascii="Times" w:eastAsia="Times New Roman" w:hAnsi="Times" w:cs="Times"/>
        </w:rPr>
      </w:pPr>
      <w:r w:rsidRPr="0087131A">
        <w:rPr>
          <w:rFonts w:ascii="Times" w:eastAsia="Times New Roman" w:hAnsi="Times" w:cs="Times"/>
        </w:rPr>
        <w:t xml:space="preserve">DETD_EMPS-områder inneholder detd-filer slått sammen til én fil </w:t>
      </w:r>
      <w:r w:rsidR="775C206D" w:rsidRPr="0087131A">
        <w:rPr>
          <w:rFonts w:ascii="Times" w:eastAsia="Times New Roman" w:hAnsi="Times" w:cs="Times"/>
        </w:rPr>
        <w:t xml:space="preserve">for hvert av de 15 </w:t>
      </w:r>
      <w:r w:rsidRPr="0087131A">
        <w:rPr>
          <w:rFonts w:ascii="Times" w:eastAsia="Times New Roman" w:hAnsi="Times" w:cs="Times"/>
        </w:rPr>
        <w:t>samkjøringsmodellområde</w:t>
      </w:r>
      <w:r w:rsidR="5756855F" w:rsidRPr="0087131A">
        <w:rPr>
          <w:rFonts w:ascii="Times" w:eastAsia="Times New Roman" w:hAnsi="Times" w:cs="Times"/>
        </w:rPr>
        <w:t>ne</w:t>
      </w:r>
      <w:r w:rsidR="48104225" w:rsidRPr="0087131A">
        <w:rPr>
          <w:rFonts w:ascii="Times" w:eastAsia="Times New Roman" w:hAnsi="Times" w:cs="Times"/>
        </w:rPr>
        <w:t xml:space="preserve"> (også kalt EMPS-område)</w:t>
      </w:r>
      <w:r w:rsidRPr="0087131A">
        <w:rPr>
          <w:rFonts w:ascii="Times" w:eastAsia="Times New Roman" w:hAnsi="Times" w:cs="Times"/>
        </w:rPr>
        <w:t xml:space="preserve">. Filene inneholder samlemoduler per samkjøringsmodellområde for småkraftverk («områdenavn»_SMA). De utgjør omtrent 7 TWh, slik at total produksjon blir om lag 134 TWh simulert for perioden </w:t>
      </w:r>
      <w:r w:rsidR="7987222F" w:rsidRPr="0087131A">
        <w:rPr>
          <w:rFonts w:ascii="Times" w:eastAsia="Times New Roman" w:hAnsi="Times" w:cs="Times"/>
        </w:rPr>
        <w:t>1991-2020</w:t>
      </w:r>
      <w:r w:rsidRPr="0087131A">
        <w:rPr>
          <w:rFonts w:ascii="Times" w:eastAsia="Times New Roman" w:hAnsi="Times" w:cs="Times"/>
        </w:rPr>
        <w:t xml:space="preserve">. </w:t>
      </w:r>
      <w:r w:rsidR="63A85814" w:rsidRPr="0087131A">
        <w:rPr>
          <w:rFonts w:ascii="Times" w:eastAsia="Times New Roman" w:hAnsi="Times" w:cs="Times"/>
        </w:rPr>
        <w:t>Midlere årstilsig</w:t>
      </w:r>
      <w:r w:rsidRPr="0087131A">
        <w:rPr>
          <w:rFonts w:ascii="Times" w:eastAsia="Times New Roman" w:hAnsi="Times" w:cs="Times"/>
        </w:rPr>
        <w:t xml:space="preserve"> er referert til </w:t>
      </w:r>
      <w:r w:rsidR="6AD50527" w:rsidRPr="0087131A">
        <w:rPr>
          <w:rFonts w:ascii="Times" w:eastAsia="Times New Roman" w:hAnsi="Times" w:cs="Times"/>
        </w:rPr>
        <w:t>1991</w:t>
      </w:r>
      <w:r w:rsidRPr="0087131A">
        <w:rPr>
          <w:rFonts w:ascii="Times" w:eastAsia="Times New Roman" w:hAnsi="Times" w:cs="Times"/>
        </w:rPr>
        <w:t>-</w:t>
      </w:r>
      <w:r w:rsidR="6AD50527" w:rsidRPr="0087131A">
        <w:rPr>
          <w:rFonts w:ascii="Times" w:eastAsia="Times New Roman" w:hAnsi="Times" w:cs="Times"/>
        </w:rPr>
        <w:t>2020</w:t>
      </w:r>
      <w:r w:rsidRPr="0087131A">
        <w:rPr>
          <w:rFonts w:ascii="Times" w:eastAsia="Times New Roman" w:hAnsi="Times" w:cs="Times"/>
        </w:rPr>
        <w:t>.</w:t>
      </w:r>
      <w:r w:rsidR="6FE04121" w:rsidRPr="0087131A">
        <w:rPr>
          <w:rFonts w:ascii="Times" w:hAnsi="Times" w:cs="Times"/>
        </w:rPr>
        <w:br/>
      </w:r>
    </w:p>
    <w:p w14:paraId="175F190C" w14:textId="76C41647" w:rsidR="00756055" w:rsidRPr="0087131A" w:rsidRDefault="3606C3A0" w:rsidP="42FF2A44">
      <w:pPr>
        <w:pStyle w:val="Listeavsnitt"/>
        <w:numPr>
          <w:ilvl w:val="0"/>
          <w:numId w:val="5"/>
        </w:numPr>
        <w:spacing w:after="240"/>
        <w:rPr>
          <w:rFonts w:ascii="Times" w:eastAsia="Times New Roman" w:hAnsi="Times" w:cs="Times"/>
        </w:rPr>
      </w:pPr>
      <w:r w:rsidRPr="0087131A">
        <w:rPr>
          <w:rFonts w:ascii="Times" w:eastAsia="Times New Roman" w:hAnsi="Times" w:cs="Times"/>
        </w:rPr>
        <w:t xml:space="preserve">Modul inneholder en oversikt over deler av dataen i DETD_vassdrag på Excel-format. Denne filen har også prisområde til moduler som produserer eller pumper. </w:t>
      </w:r>
    </w:p>
    <w:p w14:paraId="2992C3C0" w14:textId="64D20854" w:rsidR="00756055" w:rsidRPr="0087131A" w:rsidRDefault="3606C3A0" w:rsidP="42FF2A44">
      <w:pPr>
        <w:pStyle w:val="Listeavsnitt"/>
        <w:numPr>
          <w:ilvl w:val="1"/>
          <w:numId w:val="5"/>
        </w:numPr>
        <w:spacing w:after="240"/>
        <w:rPr>
          <w:rFonts w:ascii="Times" w:eastAsia="Times New Roman" w:hAnsi="Times" w:cs="Times"/>
        </w:rPr>
      </w:pPr>
      <w:r w:rsidRPr="0087131A">
        <w:rPr>
          <w:rFonts w:ascii="Times" w:eastAsia="Times New Roman" w:hAnsi="Times" w:cs="Times"/>
        </w:rPr>
        <w:t xml:space="preserve">Vi har gjort noen justeringer på slukeevnene som oppgis i dette datasettet. kap_gen_m3s er kun den maksimale slukeevene som gir produksjon, mens kap_gen_m3s_mid er slukeevnene beregnet som kap_gen_mw/enekv/3.6. Dette er for å gi mer korrekt produksjon for kraftverk som Solbergfoss og Vamma når kraftverket modelleres uten </w:t>
      </w:r>
      <w:r w:rsidR="005C0D12" w:rsidRPr="0087131A">
        <w:rPr>
          <w:rFonts w:ascii="Times" w:eastAsia="Times New Roman" w:hAnsi="Times" w:cs="Times"/>
        </w:rPr>
        <w:t xml:space="preserve">detaljerte </w:t>
      </w:r>
      <w:r w:rsidRPr="0087131A">
        <w:rPr>
          <w:rFonts w:ascii="Times" w:eastAsia="Times New Roman" w:hAnsi="Times" w:cs="Times"/>
        </w:rPr>
        <w:t>PQ-kurve</w:t>
      </w:r>
      <w:r w:rsidR="005C0D12" w:rsidRPr="0087131A">
        <w:rPr>
          <w:rFonts w:ascii="Times" w:eastAsia="Times New Roman" w:hAnsi="Times" w:cs="Times"/>
        </w:rPr>
        <w:t>r, da disse kraftverkene har lavere fallhøyde ved stor vannføring på grunn av oppstuving av undervann</w:t>
      </w:r>
      <w:r w:rsidRPr="0087131A">
        <w:rPr>
          <w:rFonts w:ascii="Times" w:eastAsia="Times New Roman" w:hAnsi="Times" w:cs="Times"/>
        </w:rPr>
        <w:t xml:space="preserve">. </w:t>
      </w:r>
    </w:p>
    <w:p w14:paraId="48E4C467" w14:textId="0AA3A35A" w:rsidR="00756055" w:rsidRPr="0087131A" w:rsidRDefault="3606C3A0" w:rsidP="21211CB3">
      <w:pPr>
        <w:pStyle w:val="Listeavsnitt"/>
        <w:numPr>
          <w:ilvl w:val="1"/>
          <w:numId w:val="5"/>
        </w:numPr>
        <w:spacing w:after="240"/>
        <w:rPr>
          <w:rFonts w:ascii="Times" w:eastAsia="Times New Roman" w:hAnsi="Times" w:cs="Times"/>
        </w:rPr>
      </w:pPr>
      <w:r w:rsidRPr="0087131A">
        <w:rPr>
          <w:rFonts w:ascii="Times" w:eastAsia="Times New Roman" w:hAnsi="Times" w:cs="Times"/>
        </w:rPr>
        <w:t>Noen av pumpene i DETD_vassdrag er modellert med forskjellige slukeevner ved forskjellige løftehøyder. For å kun oppgi ett tall per pumpe for kap_pump_m3s og enekv_pump, er disse tallene når løftehøyden er 70% av totalen.</w:t>
      </w:r>
      <w:r w:rsidRPr="0087131A">
        <w:rPr>
          <w:rFonts w:ascii="Times" w:hAnsi="Times" w:cs="Times"/>
        </w:rPr>
        <w:t xml:space="preserve"> </w:t>
      </w:r>
    </w:p>
    <w:p w14:paraId="6E7B8B70" w14:textId="063EA146" w:rsidR="00756055" w:rsidRPr="0087131A" w:rsidRDefault="6FE04121" w:rsidP="32011E78">
      <w:pPr>
        <w:spacing w:after="240"/>
        <w:rPr>
          <w:rFonts w:cs="Times"/>
        </w:rPr>
      </w:pPr>
      <w:r w:rsidRPr="0087131A">
        <w:rPr>
          <w:rFonts w:cs="Times"/>
        </w:rPr>
        <w:t xml:space="preserve">Merk </w:t>
      </w:r>
      <w:r w:rsidR="09A8CDE0" w:rsidRPr="0087131A">
        <w:rPr>
          <w:rFonts w:cs="Times"/>
        </w:rPr>
        <w:t xml:space="preserve">at noen vassdrag krysser områdegrensene, og dermed finnes i to forskjellige </w:t>
      </w:r>
      <w:r w:rsidR="00D01EBB" w:rsidRPr="0087131A">
        <w:rPr>
          <w:rFonts w:cs="Times"/>
        </w:rPr>
        <w:t>EMPS-</w:t>
      </w:r>
      <w:r w:rsidR="09A8CDE0" w:rsidRPr="0087131A">
        <w:rPr>
          <w:rFonts w:cs="Times"/>
        </w:rPr>
        <w:t>områdefiler. Dette er håndtert i EMPS-områdefilene slik at ingen moduler gir produksjon i flere EMPS-områder.</w:t>
      </w:r>
      <w:r w:rsidR="008310C0">
        <w:rPr>
          <w:rFonts w:cs="Times"/>
        </w:rPr>
        <w:br/>
        <w:t>Se vedlegg for kart over EMPS-områder.</w:t>
      </w:r>
    </w:p>
    <w:p w14:paraId="14954093" w14:textId="75D1248E" w:rsidR="0E8429CC" w:rsidRPr="0087131A" w:rsidRDefault="0E8429CC" w:rsidP="32011E78">
      <w:pPr>
        <w:rPr>
          <w:rFonts w:cs="Times"/>
        </w:rPr>
      </w:pPr>
      <w:r w:rsidRPr="0087131A">
        <w:rPr>
          <w:rFonts w:cs="Times"/>
        </w:rPr>
        <w:t>Merk også at noen moduler har hydraulisk kobling</w:t>
      </w:r>
      <w:r w:rsidR="1A209392" w:rsidRPr="0087131A">
        <w:rPr>
          <w:rFonts w:cs="Times"/>
        </w:rPr>
        <w:t xml:space="preserve"> når det er inntak i flere magasiner på ulike kotehøyder</w:t>
      </w:r>
      <w:r w:rsidRPr="0087131A">
        <w:rPr>
          <w:rFonts w:cs="Times"/>
        </w:rPr>
        <w:t xml:space="preserve">. Disse </w:t>
      </w:r>
      <w:r w:rsidR="3ACE20F9" w:rsidRPr="0087131A">
        <w:rPr>
          <w:rFonts w:cs="Times"/>
        </w:rPr>
        <w:t>har to moduler med ulik installert effekt for det samme kraftverket</w:t>
      </w:r>
      <w:r w:rsidRPr="0087131A">
        <w:rPr>
          <w:rFonts w:cs="Times"/>
        </w:rPr>
        <w:t>. Dette gjør at man ikke kan summere installert effekt for alle modulene til sammen for å få installert effekt i datasettet, siden dette vil medføre at man teller kraftverk med hydraulisk kobling to ganger.</w:t>
      </w:r>
    </w:p>
    <w:sectPr w:rsidR="0E8429CC" w:rsidRPr="0087131A" w:rsidSect="00F50E29">
      <w:footerReference w:type="default" r:id="rId13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D1DB" w14:textId="77777777" w:rsidR="00836709" w:rsidRDefault="00836709">
      <w:r>
        <w:separator/>
      </w:r>
    </w:p>
  </w:endnote>
  <w:endnote w:type="continuationSeparator" w:id="0">
    <w:p w14:paraId="11B40E47" w14:textId="77777777" w:rsidR="00836709" w:rsidRDefault="00836709">
      <w:r>
        <w:continuationSeparator/>
      </w:r>
    </w:p>
  </w:endnote>
  <w:endnote w:type="continuationNotice" w:id="1">
    <w:p w14:paraId="2F702A68" w14:textId="77777777" w:rsidR="00836709" w:rsidRDefault="008367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BC92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963A" w14:textId="77777777" w:rsidR="00836709" w:rsidRDefault="00836709">
      <w:r>
        <w:separator/>
      </w:r>
    </w:p>
  </w:footnote>
  <w:footnote w:type="continuationSeparator" w:id="0">
    <w:p w14:paraId="78A6A347" w14:textId="77777777" w:rsidR="00836709" w:rsidRDefault="00836709">
      <w:r>
        <w:continuationSeparator/>
      </w:r>
    </w:p>
  </w:footnote>
  <w:footnote w:type="continuationNotice" w:id="1">
    <w:p w14:paraId="53E5F1D9" w14:textId="77777777" w:rsidR="00836709" w:rsidRDefault="0083670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154CB7"/>
    <w:multiLevelType w:val="hybridMultilevel"/>
    <w:tmpl w:val="F814A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15555801">
    <w:abstractNumId w:val="1"/>
  </w:num>
  <w:num w:numId="2" w16cid:durableId="2094470753">
    <w:abstractNumId w:val="3"/>
  </w:num>
  <w:num w:numId="3" w16cid:durableId="895821005">
    <w:abstractNumId w:val="0"/>
  </w:num>
  <w:num w:numId="4" w16cid:durableId="630673297">
    <w:abstractNumId w:val="0"/>
  </w:num>
  <w:num w:numId="5" w16cid:durableId="12651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BC"/>
    <w:rsid w:val="00003326"/>
    <w:rsid w:val="00040C40"/>
    <w:rsid w:val="000667F3"/>
    <w:rsid w:val="000877BA"/>
    <w:rsid w:val="000B331A"/>
    <w:rsid w:val="000C035E"/>
    <w:rsid w:val="000C246E"/>
    <w:rsid w:val="001163D5"/>
    <w:rsid w:val="00141550"/>
    <w:rsid w:val="00165B75"/>
    <w:rsid w:val="00192C35"/>
    <w:rsid w:val="001E55B1"/>
    <w:rsid w:val="001F229D"/>
    <w:rsid w:val="00212B24"/>
    <w:rsid w:val="00226B1A"/>
    <w:rsid w:val="00267E0D"/>
    <w:rsid w:val="00277EC3"/>
    <w:rsid w:val="002823B3"/>
    <w:rsid w:val="002A41CF"/>
    <w:rsid w:val="002B301F"/>
    <w:rsid w:val="002C1317"/>
    <w:rsid w:val="002D32D6"/>
    <w:rsid w:val="00301D89"/>
    <w:rsid w:val="00326711"/>
    <w:rsid w:val="00327A2B"/>
    <w:rsid w:val="00343F4F"/>
    <w:rsid w:val="00361F3D"/>
    <w:rsid w:val="00391BB3"/>
    <w:rsid w:val="003C757E"/>
    <w:rsid w:val="003D0C15"/>
    <w:rsid w:val="003E0EFD"/>
    <w:rsid w:val="003E431B"/>
    <w:rsid w:val="00424054"/>
    <w:rsid w:val="00425C0B"/>
    <w:rsid w:val="00485DA5"/>
    <w:rsid w:val="004978D2"/>
    <w:rsid w:val="004A0848"/>
    <w:rsid w:val="004B3CDD"/>
    <w:rsid w:val="0050465F"/>
    <w:rsid w:val="00516B82"/>
    <w:rsid w:val="00521800"/>
    <w:rsid w:val="00526EC2"/>
    <w:rsid w:val="00533BBC"/>
    <w:rsid w:val="00556890"/>
    <w:rsid w:val="00580506"/>
    <w:rsid w:val="005A685E"/>
    <w:rsid w:val="005B5733"/>
    <w:rsid w:val="005C0D12"/>
    <w:rsid w:val="005C10C4"/>
    <w:rsid w:val="005C30C8"/>
    <w:rsid w:val="005D5DBB"/>
    <w:rsid w:val="006345FF"/>
    <w:rsid w:val="00685372"/>
    <w:rsid w:val="006C6F25"/>
    <w:rsid w:val="006D1D77"/>
    <w:rsid w:val="006E6E15"/>
    <w:rsid w:val="00711468"/>
    <w:rsid w:val="00742316"/>
    <w:rsid w:val="00756055"/>
    <w:rsid w:val="00757376"/>
    <w:rsid w:val="0077252D"/>
    <w:rsid w:val="0077622F"/>
    <w:rsid w:val="007878A2"/>
    <w:rsid w:val="0079308A"/>
    <w:rsid w:val="007C65C6"/>
    <w:rsid w:val="007F7AEF"/>
    <w:rsid w:val="008310C0"/>
    <w:rsid w:val="00836709"/>
    <w:rsid w:val="0085078B"/>
    <w:rsid w:val="00866451"/>
    <w:rsid w:val="0087131A"/>
    <w:rsid w:val="00880BB3"/>
    <w:rsid w:val="008D1004"/>
    <w:rsid w:val="008D2CD9"/>
    <w:rsid w:val="008D75A6"/>
    <w:rsid w:val="008E1BE0"/>
    <w:rsid w:val="009035E1"/>
    <w:rsid w:val="00907ECC"/>
    <w:rsid w:val="009132B6"/>
    <w:rsid w:val="00920A99"/>
    <w:rsid w:val="00942E22"/>
    <w:rsid w:val="00967341"/>
    <w:rsid w:val="00985183"/>
    <w:rsid w:val="009854BE"/>
    <w:rsid w:val="009A7032"/>
    <w:rsid w:val="009C4A21"/>
    <w:rsid w:val="009C4C64"/>
    <w:rsid w:val="009C5F02"/>
    <w:rsid w:val="009F54FF"/>
    <w:rsid w:val="00A004C0"/>
    <w:rsid w:val="00A00BD4"/>
    <w:rsid w:val="00A132F9"/>
    <w:rsid w:val="00A22AD7"/>
    <w:rsid w:val="00A24658"/>
    <w:rsid w:val="00A26D5D"/>
    <w:rsid w:val="00A32C34"/>
    <w:rsid w:val="00A85208"/>
    <w:rsid w:val="00A94E07"/>
    <w:rsid w:val="00AA553B"/>
    <w:rsid w:val="00AD0F54"/>
    <w:rsid w:val="00AE334C"/>
    <w:rsid w:val="00AF6982"/>
    <w:rsid w:val="00B05F51"/>
    <w:rsid w:val="00B37D32"/>
    <w:rsid w:val="00B50F95"/>
    <w:rsid w:val="00B67B35"/>
    <w:rsid w:val="00B7254E"/>
    <w:rsid w:val="00B85158"/>
    <w:rsid w:val="00BC4E41"/>
    <w:rsid w:val="00BF274A"/>
    <w:rsid w:val="00BF5743"/>
    <w:rsid w:val="00C01144"/>
    <w:rsid w:val="00C02627"/>
    <w:rsid w:val="00C12F16"/>
    <w:rsid w:val="00C530C7"/>
    <w:rsid w:val="00C53267"/>
    <w:rsid w:val="00C61035"/>
    <w:rsid w:val="00C8347A"/>
    <w:rsid w:val="00C876C1"/>
    <w:rsid w:val="00CA2E0C"/>
    <w:rsid w:val="00CC5D91"/>
    <w:rsid w:val="00CC730E"/>
    <w:rsid w:val="00CD0F69"/>
    <w:rsid w:val="00CF54F4"/>
    <w:rsid w:val="00D01EBB"/>
    <w:rsid w:val="00D1606D"/>
    <w:rsid w:val="00D41A76"/>
    <w:rsid w:val="00D4244B"/>
    <w:rsid w:val="00DB6469"/>
    <w:rsid w:val="00DB71C9"/>
    <w:rsid w:val="00DD6938"/>
    <w:rsid w:val="00DF33B0"/>
    <w:rsid w:val="00E34C31"/>
    <w:rsid w:val="00E427B4"/>
    <w:rsid w:val="00E479ED"/>
    <w:rsid w:val="00E61546"/>
    <w:rsid w:val="00E74A2B"/>
    <w:rsid w:val="00E8221C"/>
    <w:rsid w:val="00E93B1D"/>
    <w:rsid w:val="00E970D5"/>
    <w:rsid w:val="00EC100B"/>
    <w:rsid w:val="00EC7B3F"/>
    <w:rsid w:val="00F41E42"/>
    <w:rsid w:val="00F50E29"/>
    <w:rsid w:val="00F56D1C"/>
    <w:rsid w:val="00F66BB9"/>
    <w:rsid w:val="00FA39F7"/>
    <w:rsid w:val="00FB5B1D"/>
    <w:rsid w:val="00FF6C51"/>
    <w:rsid w:val="059AD7F3"/>
    <w:rsid w:val="09A8CDE0"/>
    <w:rsid w:val="0D45F70E"/>
    <w:rsid w:val="0E8429CC"/>
    <w:rsid w:val="12925063"/>
    <w:rsid w:val="1431DD10"/>
    <w:rsid w:val="15CDAD71"/>
    <w:rsid w:val="187B6D80"/>
    <w:rsid w:val="1A209392"/>
    <w:rsid w:val="20813B94"/>
    <w:rsid w:val="21211CB3"/>
    <w:rsid w:val="250ADAFE"/>
    <w:rsid w:val="2CA10A8E"/>
    <w:rsid w:val="30654E17"/>
    <w:rsid w:val="32011E78"/>
    <w:rsid w:val="35AFDDAF"/>
    <w:rsid w:val="35CA451F"/>
    <w:rsid w:val="3606C3A0"/>
    <w:rsid w:val="391C6E1D"/>
    <w:rsid w:val="3ACE20F9"/>
    <w:rsid w:val="41966706"/>
    <w:rsid w:val="41F35E21"/>
    <w:rsid w:val="42C9B2F5"/>
    <w:rsid w:val="42FF2A44"/>
    <w:rsid w:val="452931BC"/>
    <w:rsid w:val="45FBE241"/>
    <w:rsid w:val="48104225"/>
    <w:rsid w:val="4910E0D4"/>
    <w:rsid w:val="49B3C44D"/>
    <w:rsid w:val="49FEF14B"/>
    <w:rsid w:val="53A034FA"/>
    <w:rsid w:val="54D8668C"/>
    <w:rsid w:val="5756855F"/>
    <w:rsid w:val="5A488249"/>
    <w:rsid w:val="5A662249"/>
    <w:rsid w:val="63A85814"/>
    <w:rsid w:val="6AD50527"/>
    <w:rsid w:val="6DCE7555"/>
    <w:rsid w:val="6DFBF506"/>
    <w:rsid w:val="6FE04121"/>
    <w:rsid w:val="775C206D"/>
    <w:rsid w:val="77DC90B5"/>
    <w:rsid w:val="78EA1EC7"/>
    <w:rsid w:val="798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BC6F"/>
  <w15:chartTrackingRefBased/>
  <w15:docId w15:val="{068D7E7A-0334-4D83-80D7-93DA5F0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BC"/>
    <w:pPr>
      <w:spacing w:line="280" w:lineRule="exact"/>
    </w:pPr>
    <w:rPr>
      <w:rFonts w:ascii="Times" w:hAnsi="Times"/>
      <w:szCs w:val="20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 w:line="280" w:lineRule="atLeast"/>
      <w:outlineLvl w:val="0"/>
    </w:pPr>
    <w:rPr>
      <w:rFonts w:cs="Times"/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 w:line="280" w:lineRule="atLeast"/>
      <w:outlineLvl w:val="1"/>
    </w:pPr>
    <w:rPr>
      <w:rFonts w:cs="Times"/>
      <w:b/>
      <w:bCs/>
      <w:szCs w:val="22"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 w:line="280" w:lineRule="atLeast"/>
      <w:outlineLvl w:val="2"/>
    </w:pPr>
    <w:rPr>
      <w:rFonts w:cs="Times"/>
      <w:i/>
      <w:iCs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 w:line="280" w:lineRule="atLeast"/>
    </w:pPr>
    <w:rPr>
      <w:rFonts w:cs="Times"/>
      <w:szCs w:val="22"/>
    </w:r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rFonts w:cs="Times"/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 w:line="280" w:lineRule="atLeast"/>
      <w:ind w:left="850" w:hanging="425"/>
    </w:pPr>
    <w:rPr>
      <w:rFonts w:cs="Times"/>
      <w:szCs w:val="22"/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rFonts w:cs="Times"/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customStyle="1" w:styleId="Notattittel">
    <w:name w:val="Notattittel"/>
    <w:basedOn w:val="Overskrift1"/>
    <w:next w:val="Brdtekst"/>
    <w:rsid w:val="00533BBC"/>
    <w:pPr>
      <w:spacing w:line="320" w:lineRule="atLeast"/>
    </w:pPr>
    <w:rPr>
      <w:rFonts w:cs="Times New Roman"/>
      <w:bCs w:val="0"/>
      <w:sz w:val="30"/>
      <w:szCs w:val="20"/>
    </w:rPr>
  </w:style>
  <w:style w:type="table" w:styleId="Listetabell1lys">
    <w:name w:val="List Table 1 Light"/>
    <w:basedOn w:val="Vanligtabell"/>
    <w:uiPriority w:val="46"/>
    <w:rsid w:val="00533BB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533BBC"/>
    <w:pPr>
      <w:spacing w:after="200" w:line="240" w:lineRule="auto"/>
    </w:pPr>
    <w:rPr>
      <w:i/>
      <w:iCs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33B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46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F274A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opptekst">
    <w:name w:val="header"/>
    <w:basedOn w:val="Normal"/>
    <w:link w:val="TopptekstTegn"/>
    <w:semiHidden/>
    <w:unhideWhenUsed/>
    <w:rsid w:val="007878A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7878A2"/>
    <w:rPr>
      <w:rFonts w:ascii="Times" w:hAnsi="Times"/>
      <w:szCs w:val="20"/>
    </w:rPr>
  </w:style>
  <w:style w:type="paragraph" w:styleId="Bunntekst">
    <w:name w:val="footer"/>
    <w:basedOn w:val="Normal"/>
    <w:link w:val="BunntekstTegn"/>
    <w:semiHidden/>
    <w:unhideWhenUsed/>
    <w:rsid w:val="007878A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semiHidden/>
    <w:rsid w:val="007878A2"/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las.nve.n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ve.no/vann-og-vassdrag/hydrologiske-data/historiske-data/historiske-vannforingsdata-til-produksjonsplanlegg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dlasting.nve.no/gi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ve.no/energi/energisystem/vannkraft/vannkraftdata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e.no/konsesjon/konsesjonssaker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53046D2CF495B85CC70B9056E7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41F48-2354-4EDF-B18E-8A9138E24E0E}"/>
      </w:docPartPr>
      <w:docPartBody>
        <w:p w:rsidR="00DA4821" w:rsidRDefault="00EC100B" w:rsidP="00EC100B">
          <w:pPr>
            <w:pStyle w:val="67A53046D2CF495B85CC70B9056E714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0B"/>
    <w:rsid w:val="003A564A"/>
    <w:rsid w:val="0073729B"/>
    <w:rsid w:val="008D2FCB"/>
    <w:rsid w:val="00D572E6"/>
    <w:rsid w:val="00DA4821"/>
    <w:rsid w:val="00DB7E8D"/>
    <w:rsid w:val="00EC100B"/>
    <w:rsid w:val="00F15AB5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7A53046D2CF495B85CC70B9056E714F">
    <w:name w:val="67A53046D2CF495B85CC70B9056E714F"/>
    <w:rsid w:val="00EC1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B37F-F0D6-4143-9256-B980A665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3702</Characters>
  <Application>Microsoft Office Word</Application>
  <DocSecurity>0</DocSecurity>
  <Lines>30</Lines>
  <Paragraphs>8</Paragraphs>
  <ScaleCrop>false</ScaleCrop>
  <Company>NVE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Longva Birgit</dc:creator>
  <cp:keywords/>
  <dc:description/>
  <cp:lastModifiedBy>Carl Andreas Veie</cp:lastModifiedBy>
  <cp:revision>86</cp:revision>
  <cp:lastPrinted>1997-07-14T22:12:00Z</cp:lastPrinted>
  <dcterms:created xsi:type="dcterms:W3CDTF">2017-03-10T20:38:00Z</dcterms:created>
  <dcterms:modified xsi:type="dcterms:W3CDTF">2022-12-20T11:16:00Z</dcterms:modified>
</cp:coreProperties>
</file>