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F173E9" w14:textId="77777777" w:rsidR="0022192A" w:rsidRDefault="0022192A" w:rsidP="00BD6EBA">
      <w:pPr>
        <w:pStyle w:val="Heading"/>
        <w:rPr>
          <w:b w:val="0"/>
          <w:caps w:val="0"/>
          <w:sz w:val="16"/>
          <w:szCs w:val="16"/>
          <w:u w:val="none"/>
        </w:rPr>
      </w:pPr>
    </w:p>
    <w:p w14:paraId="1182B6C2" w14:textId="39220049" w:rsidR="0077107D" w:rsidRPr="00C57D4B" w:rsidRDefault="0077107D" w:rsidP="00DB5FD8">
      <w:pPr>
        <w:pStyle w:val="Heading"/>
        <w:jc w:val="center"/>
        <w:rPr>
          <w:color w:val="262626" w:themeColor="text1" w:themeTint="D9"/>
        </w:rPr>
      </w:pPr>
      <w:r w:rsidRPr="00C57D4B">
        <w:rPr>
          <w:bCs/>
          <w:noProof/>
          <w:color w:val="262626" w:themeColor="text1" w:themeTint="D9"/>
          <w:lang w:val="en-US" w:eastAsia="fr-BE"/>
        </w:rPr>
        <w:t>Explanatory Memorandum to</w:t>
      </w:r>
    </w:p>
    <w:p w14:paraId="031709B1" w14:textId="77777777" w:rsidR="0077107D" w:rsidRPr="00C57D4B" w:rsidRDefault="0077107D" w:rsidP="00AB702D">
      <w:pPr>
        <w:rPr>
          <w:rFonts w:ascii="Verdana" w:hAnsi="Verdana"/>
          <w:noProof/>
          <w:color w:val="262626" w:themeColor="text1" w:themeTint="D9"/>
          <w:sz w:val="20"/>
          <w:lang w:val="en-US" w:eastAsia="fr-BE"/>
        </w:rPr>
      </w:pPr>
    </w:p>
    <w:p w14:paraId="25DB8DC4" w14:textId="77777777" w:rsidR="0077107D" w:rsidRPr="00C57D4B" w:rsidRDefault="0077107D" w:rsidP="0077107D">
      <w:pPr>
        <w:jc w:val="center"/>
        <w:rPr>
          <w:rFonts w:ascii="Verdana" w:hAnsi="Verdana"/>
          <w:noProof/>
          <w:color w:val="262626" w:themeColor="text1" w:themeTint="D9"/>
          <w:sz w:val="20"/>
          <w:lang w:val="en-US" w:eastAsia="fr-BE"/>
        </w:rPr>
      </w:pPr>
    </w:p>
    <w:p w14:paraId="72DA5019" w14:textId="77777777" w:rsidR="0077107D" w:rsidRPr="00C57D4B" w:rsidRDefault="0077107D" w:rsidP="0077107D">
      <w:pPr>
        <w:jc w:val="center"/>
        <w:rPr>
          <w:rFonts w:ascii="Verdana" w:hAnsi="Verdana"/>
          <w:b/>
          <w:bCs/>
          <w:noProof/>
          <w:color w:val="262626" w:themeColor="text1" w:themeTint="D9"/>
          <w:sz w:val="20"/>
          <w:lang w:val="en-US" w:eastAsia="fr-BE"/>
        </w:rPr>
      </w:pPr>
      <w:r w:rsidRPr="00C57D4B">
        <w:rPr>
          <w:rFonts w:ascii="Verdana" w:hAnsi="Verdana"/>
          <w:b/>
          <w:bCs/>
          <w:noProof/>
          <w:color w:val="262626" w:themeColor="text1" w:themeTint="D9"/>
          <w:sz w:val="20"/>
          <w:lang w:val="en-US" w:eastAsia="fr-BE"/>
        </w:rPr>
        <w:t>COMMISSION REGULATION (EU) No  ……/……</w:t>
      </w:r>
    </w:p>
    <w:p w14:paraId="3C3FD342" w14:textId="77777777" w:rsidR="0077107D" w:rsidRPr="00C57D4B" w:rsidRDefault="0077107D" w:rsidP="0077107D">
      <w:pPr>
        <w:jc w:val="center"/>
        <w:rPr>
          <w:rFonts w:ascii="Verdana" w:hAnsi="Verdana"/>
          <w:noProof/>
          <w:color w:val="262626" w:themeColor="text1" w:themeTint="D9"/>
          <w:sz w:val="20"/>
          <w:lang w:val="en-US" w:eastAsia="fr-BE"/>
        </w:rPr>
      </w:pPr>
    </w:p>
    <w:p w14:paraId="77984E56" w14:textId="77777777" w:rsidR="0077107D" w:rsidRPr="00C57D4B" w:rsidRDefault="0077107D" w:rsidP="0077107D">
      <w:pPr>
        <w:jc w:val="center"/>
        <w:rPr>
          <w:rFonts w:ascii="Verdana" w:hAnsi="Verdana"/>
          <w:noProof/>
          <w:color w:val="262626" w:themeColor="text1" w:themeTint="D9"/>
          <w:sz w:val="20"/>
          <w:lang w:val="en-US" w:eastAsia="fr-BE"/>
        </w:rPr>
      </w:pPr>
      <w:r w:rsidRPr="00C57D4B">
        <w:rPr>
          <w:rFonts w:ascii="Verdana" w:hAnsi="Verdana"/>
          <w:b/>
          <w:bCs/>
          <w:noProof/>
          <w:color w:val="262626" w:themeColor="text1" w:themeTint="D9"/>
          <w:sz w:val="20"/>
          <w:lang w:val="en-US" w:eastAsia="fr-BE"/>
        </w:rPr>
        <w:t xml:space="preserve">of </w:t>
      </w:r>
      <w:r w:rsidRPr="00C57D4B">
        <w:rPr>
          <w:rFonts w:ascii="Verdana" w:hAnsi="Verdana"/>
          <w:noProof/>
          <w:color w:val="262626" w:themeColor="text1" w:themeTint="D9"/>
          <w:sz w:val="20"/>
          <w:lang w:val="en-US" w:eastAsia="fr-BE"/>
        </w:rPr>
        <w:t>XXX</w:t>
      </w:r>
    </w:p>
    <w:p w14:paraId="29021E66" w14:textId="77777777" w:rsidR="0077107D" w:rsidRPr="00C57D4B" w:rsidRDefault="0077107D" w:rsidP="0077107D">
      <w:pPr>
        <w:jc w:val="center"/>
        <w:rPr>
          <w:rFonts w:ascii="Verdana" w:hAnsi="Verdana"/>
          <w:noProof/>
          <w:color w:val="262626" w:themeColor="text1" w:themeTint="D9"/>
          <w:sz w:val="20"/>
          <w:lang w:val="en-US" w:eastAsia="fr-BE"/>
        </w:rPr>
      </w:pPr>
    </w:p>
    <w:p w14:paraId="16FEB654" w14:textId="5EBA5765" w:rsidR="00DB5FD8" w:rsidRPr="00C57D4B" w:rsidRDefault="0077107D" w:rsidP="00AB702D">
      <w:pPr>
        <w:rPr>
          <w:rFonts w:ascii="Verdana" w:hAnsi="Verdana"/>
          <w:b/>
          <w:bCs/>
          <w:noProof/>
          <w:color w:val="262626" w:themeColor="text1" w:themeTint="D9"/>
          <w:sz w:val="20"/>
          <w:lang w:val="en-US" w:eastAsia="fr-BE"/>
        </w:rPr>
      </w:pPr>
      <w:r w:rsidRPr="00C57D4B">
        <w:rPr>
          <w:rFonts w:ascii="Verdana" w:hAnsi="Verdana"/>
          <w:b/>
          <w:bCs/>
          <w:noProof/>
          <w:color w:val="262626" w:themeColor="text1" w:themeTint="D9"/>
          <w:sz w:val="20"/>
          <w:lang w:val="en-US" w:eastAsia="fr-BE"/>
        </w:rPr>
        <w:t xml:space="preserve">Implementing Directive 2009/125/EC of the European Parliament and of the Council with regard to ecodesign requirements for </w:t>
      </w:r>
      <w:r w:rsidR="00396092">
        <w:rPr>
          <w:rFonts w:ascii="Verdana" w:hAnsi="Verdana"/>
          <w:b/>
          <w:bCs/>
          <w:noProof/>
          <w:color w:val="262626" w:themeColor="text1" w:themeTint="D9"/>
          <w:sz w:val="20"/>
          <w:lang w:val="en-US" w:eastAsia="fr-BE"/>
        </w:rPr>
        <w:t xml:space="preserve">professional </w:t>
      </w:r>
      <w:r w:rsidR="0045365B" w:rsidRPr="00C57D4B">
        <w:rPr>
          <w:rFonts w:ascii="Verdana" w:hAnsi="Verdana"/>
          <w:b/>
          <w:bCs/>
          <w:noProof/>
          <w:color w:val="262626" w:themeColor="text1" w:themeTint="D9"/>
          <w:sz w:val="20"/>
          <w:lang w:val="en-US" w:eastAsia="fr-BE"/>
        </w:rPr>
        <w:t xml:space="preserve">refrigerated storage cabinets, </w:t>
      </w:r>
      <w:r w:rsidR="00A560BF" w:rsidRPr="00C57D4B">
        <w:rPr>
          <w:rFonts w:ascii="Verdana" w:hAnsi="Verdana"/>
          <w:b/>
          <w:bCs/>
          <w:noProof/>
          <w:color w:val="262626" w:themeColor="text1" w:themeTint="D9"/>
          <w:sz w:val="20"/>
          <w:lang w:val="en-US" w:eastAsia="fr-BE"/>
        </w:rPr>
        <w:t xml:space="preserve">scientific and healthcare </w:t>
      </w:r>
      <w:r w:rsidR="00396092">
        <w:rPr>
          <w:rFonts w:ascii="Verdana" w:hAnsi="Verdana"/>
          <w:b/>
          <w:bCs/>
          <w:noProof/>
          <w:color w:val="262626" w:themeColor="text1" w:themeTint="D9"/>
          <w:sz w:val="20"/>
          <w:lang w:val="en-US" w:eastAsia="fr-BE"/>
        </w:rPr>
        <w:t xml:space="preserve">refrigerated storage </w:t>
      </w:r>
      <w:r w:rsidR="00A560BF" w:rsidRPr="00C57D4B">
        <w:rPr>
          <w:rFonts w:ascii="Verdana" w:hAnsi="Verdana"/>
          <w:b/>
          <w:bCs/>
          <w:noProof/>
          <w:color w:val="262626" w:themeColor="text1" w:themeTint="D9"/>
          <w:sz w:val="20"/>
          <w:lang w:val="en-US" w:eastAsia="fr-BE"/>
        </w:rPr>
        <w:t xml:space="preserve">cabinets, </w:t>
      </w:r>
      <w:r w:rsidR="0045365B" w:rsidRPr="00C57D4B">
        <w:rPr>
          <w:rFonts w:ascii="Verdana" w:hAnsi="Verdana"/>
          <w:b/>
          <w:bCs/>
          <w:noProof/>
          <w:color w:val="262626" w:themeColor="text1" w:themeTint="D9"/>
          <w:sz w:val="20"/>
          <w:lang w:val="en-US" w:eastAsia="fr-BE"/>
        </w:rPr>
        <w:t>blast cabinets, condensing units and process chillers</w:t>
      </w:r>
      <w:r w:rsidRPr="00C57D4B">
        <w:rPr>
          <w:rFonts w:ascii="Verdana" w:hAnsi="Verdana"/>
          <w:b/>
          <w:bCs/>
          <w:noProof/>
          <w:color w:val="262626" w:themeColor="text1" w:themeTint="D9"/>
          <w:sz w:val="20"/>
          <w:lang w:val="en-US" w:eastAsia="fr-BE"/>
        </w:rPr>
        <w:t xml:space="preserve">, </w:t>
      </w:r>
      <w:bookmarkStart w:id="0" w:name="_Hlk115853489"/>
      <w:r w:rsidRPr="00C57D4B">
        <w:rPr>
          <w:rFonts w:ascii="Verdana" w:hAnsi="Verdana"/>
          <w:b/>
          <w:bCs/>
          <w:noProof/>
          <w:color w:val="262626" w:themeColor="text1" w:themeTint="D9"/>
          <w:sz w:val="20"/>
          <w:lang w:val="en-US" w:eastAsia="fr-BE"/>
        </w:rPr>
        <w:t>repealing Regulation (EC)</w:t>
      </w:r>
      <w:r w:rsidR="0045365B" w:rsidRPr="00C57D4B">
        <w:rPr>
          <w:rFonts w:ascii="Verdana" w:hAnsi="Verdana"/>
          <w:b/>
          <w:bCs/>
          <w:noProof/>
          <w:color w:val="262626" w:themeColor="text1" w:themeTint="D9"/>
          <w:sz w:val="20"/>
          <w:lang w:val="en-US" w:eastAsia="fr-BE"/>
        </w:rPr>
        <w:t xml:space="preserve"> 2015</w:t>
      </w:r>
      <w:r w:rsidR="00352CE2" w:rsidRPr="00C57D4B">
        <w:rPr>
          <w:rFonts w:ascii="Verdana" w:hAnsi="Verdana"/>
          <w:b/>
          <w:bCs/>
          <w:noProof/>
          <w:color w:val="262626" w:themeColor="text1" w:themeTint="D9"/>
          <w:sz w:val="20"/>
          <w:lang w:val="en-US" w:eastAsia="fr-BE"/>
        </w:rPr>
        <w:t>/1095</w:t>
      </w:r>
      <w:r w:rsidRPr="00C57D4B">
        <w:rPr>
          <w:rFonts w:ascii="Verdana" w:hAnsi="Verdana"/>
          <w:b/>
          <w:bCs/>
          <w:noProof/>
          <w:color w:val="262626" w:themeColor="text1" w:themeTint="D9"/>
          <w:sz w:val="20"/>
          <w:lang w:val="en-US" w:eastAsia="fr-BE"/>
        </w:rPr>
        <w:t xml:space="preserve"> </w:t>
      </w:r>
    </w:p>
    <w:bookmarkEnd w:id="0"/>
    <w:p w14:paraId="72E34CCD" w14:textId="1506579A" w:rsidR="00285BA2" w:rsidRPr="00C57D4B" w:rsidRDefault="00285BA2" w:rsidP="00AB702D">
      <w:pPr>
        <w:rPr>
          <w:rFonts w:ascii="Verdana" w:hAnsi="Verdana"/>
          <w:b/>
          <w:bCs/>
          <w:noProof/>
          <w:color w:val="262626" w:themeColor="text1" w:themeTint="D9"/>
          <w:sz w:val="20"/>
          <w:lang w:val="en-US" w:eastAsia="fr-BE"/>
        </w:rPr>
      </w:pPr>
    </w:p>
    <w:p w14:paraId="2F5B5DA1" w14:textId="03CA7ABD" w:rsidR="00285BA2" w:rsidRPr="00C57D4B" w:rsidRDefault="00285BA2" w:rsidP="00285BA2">
      <w:pPr>
        <w:jc w:val="center"/>
        <w:rPr>
          <w:rFonts w:ascii="Verdana" w:hAnsi="Verdana"/>
          <w:color w:val="262626" w:themeColor="text1" w:themeTint="D9"/>
          <w:sz w:val="20"/>
          <w:lang w:val="en-US"/>
        </w:rPr>
      </w:pPr>
      <w:r w:rsidRPr="00C57D4B">
        <w:rPr>
          <w:rFonts w:ascii="Verdana" w:hAnsi="Verdana"/>
          <w:b/>
          <w:bCs/>
          <w:noProof/>
          <w:color w:val="262626" w:themeColor="text1" w:themeTint="D9"/>
          <w:sz w:val="20"/>
          <w:lang w:val="en-US" w:eastAsia="fr-BE"/>
        </w:rPr>
        <w:t>AND</w:t>
      </w:r>
    </w:p>
    <w:p w14:paraId="197F0258" w14:textId="77777777" w:rsidR="00DB5FD8" w:rsidRPr="00C57D4B" w:rsidRDefault="00DB5FD8" w:rsidP="0077107D">
      <w:pPr>
        <w:jc w:val="center"/>
        <w:rPr>
          <w:rFonts w:ascii="Verdana" w:hAnsi="Verdana"/>
          <w:color w:val="262626" w:themeColor="text1" w:themeTint="D9"/>
          <w:sz w:val="20"/>
          <w:lang w:val="en-US"/>
        </w:rPr>
      </w:pPr>
    </w:p>
    <w:p w14:paraId="621F627E" w14:textId="77777777" w:rsidR="0045365B" w:rsidRPr="00C57D4B" w:rsidRDefault="0045365B" w:rsidP="0045365B">
      <w:pPr>
        <w:jc w:val="center"/>
        <w:rPr>
          <w:rFonts w:ascii="Verdana" w:hAnsi="Verdana"/>
          <w:b/>
          <w:bCs/>
          <w:noProof/>
          <w:color w:val="262626" w:themeColor="text1" w:themeTint="D9"/>
          <w:sz w:val="20"/>
          <w:lang w:val="en-US" w:eastAsia="fr-BE"/>
        </w:rPr>
      </w:pPr>
      <w:r w:rsidRPr="00C57D4B">
        <w:rPr>
          <w:rFonts w:ascii="Verdana" w:hAnsi="Verdana"/>
          <w:b/>
          <w:bCs/>
          <w:noProof/>
          <w:color w:val="262626" w:themeColor="text1" w:themeTint="D9"/>
          <w:sz w:val="20"/>
          <w:lang w:val="en-US" w:eastAsia="fr-BE"/>
        </w:rPr>
        <w:t>COMMISSION REGULATION (EU) No  ……/……</w:t>
      </w:r>
    </w:p>
    <w:p w14:paraId="69126C04" w14:textId="77777777" w:rsidR="0045365B" w:rsidRPr="00C57D4B" w:rsidRDefault="0045365B" w:rsidP="0045365B">
      <w:pPr>
        <w:jc w:val="center"/>
        <w:rPr>
          <w:rFonts w:ascii="Verdana" w:hAnsi="Verdana"/>
          <w:noProof/>
          <w:color w:val="262626" w:themeColor="text1" w:themeTint="D9"/>
          <w:sz w:val="20"/>
          <w:lang w:val="en-US" w:eastAsia="fr-BE"/>
        </w:rPr>
      </w:pPr>
    </w:p>
    <w:p w14:paraId="02C6B30B" w14:textId="77777777" w:rsidR="0045365B" w:rsidRPr="00C57D4B" w:rsidRDefault="0045365B" w:rsidP="0045365B">
      <w:pPr>
        <w:jc w:val="center"/>
        <w:rPr>
          <w:rFonts w:ascii="Verdana" w:hAnsi="Verdana"/>
          <w:noProof/>
          <w:color w:val="262626" w:themeColor="text1" w:themeTint="D9"/>
          <w:sz w:val="20"/>
          <w:lang w:val="en-US" w:eastAsia="fr-BE"/>
        </w:rPr>
      </w:pPr>
      <w:r w:rsidRPr="00C57D4B">
        <w:rPr>
          <w:rFonts w:ascii="Verdana" w:hAnsi="Verdana"/>
          <w:b/>
          <w:bCs/>
          <w:noProof/>
          <w:color w:val="262626" w:themeColor="text1" w:themeTint="D9"/>
          <w:sz w:val="20"/>
          <w:lang w:val="en-US" w:eastAsia="fr-BE"/>
        </w:rPr>
        <w:t xml:space="preserve">of </w:t>
      </w:r>
      <w:r w:rsidRPr="00C57D4B">
        <w:rPr>
          <w:rFonts w:ascii="Verdana" w:hAnsi="Verdana"/>
          <w:noProof/>
          <w:color w:val="262626" w:themeColor="text1" w:themeTint="D9"/>
          <w:sz w:val="20"/>
          <w:lang w:val="en-US" w:eastAsia="fr-BE"/>
        </w:rPr>
        <w:t>XXX</w:t>
      </w:r>
    </w:p>
    <w:p w14:paraId="1BCF5B74" w14:textId="77777777" w:rsidR="0045365B" w:rsidRPr="00C57D4B" w:rsidRDefault="0045365B" w:rsidP="0045365B">
      <w:pPr>
        <w:jc w:val="center"/>
        <w:rPr>
          <w:rFonts w:ascii="Verdana" w:hAnsi="Verdana"/>
          <w:noProof/>
          <w:color w:val="262626" w:themeColor="text1" w:themeTint="D9"/>
          <w:sz w:val="20"/>
          <w:lang w:val="en-US" w:eastAsia="fr-BE"/>
        </w:rPr>
      </w:pPr>
    </w:p>
    <w:p w14:paraId="7CF43C4B" w14:textId="21C6DC2B" w:rsidR="0045365B" w:rsidRPr="00C57D4B" w:rsidRDefault="00352CE2" w:rsidP="0045365B">
      <w:pPr>
        <w:rPr>
          <w:rFonts w:ascii="Verdana" w:hAnsi="Verdana"/>
          <w:color w:val="262626" w:themeColor="text1" w:themeTint="D9"/>
          <w:sz w:val="20"/>
          <w:lang w:val="en-US"/>
        </w:rPr>
      </w:pPr>
      <w:r w:rsidRPr="00C57D4B">
        <w:rPr>
          <w:rFonts w:ascii="Verdana" w:hAnsi="Verdana"/>
          <w:b/>
          <w:bCs/>
          <w:noProof/>
          <w:color w:val="262626" w:themeColor="text1" w:themeTint="D9"/>
          <w:sz w:val="20"/>
          <w:lang w:val="en-US" w:eastAsia="fr-BE"/>
        </w:rPr>
        <w:t>Supplementing</w:t>
      </w:r>
      <w:r w:rsidR="0045365B" w:rsidRPr="00C57D4B">
        <w:rPr>
          <w:rFonts w:ascii="Verdana" w:hAnsi="Verdana"/>
          <w:b/>
          <w:bCs/>
          <w:noProof/>
          <w:color w:val="262626" w:themeColor="text1" w:themeTint="D9"/>
          <w:sz w:val="20"/>
          <w:lang w:val="en-US" w:eastAsia="fr-BE"/>
        </w:rPr>
        <w:t xml:space="preserve"> </w:t>
      </w:r>
      <w:r w:rsidR="00776912" w:rsidRPr="00776912">
        <w:rPr>
          <w:rFonts w:ascii="Verdana" w:hAnsi="Verdana"/>
          <w:b/>
          <w:bCs/>
          <w:noProof/>
          <w:color w:val="262626" w:themeColor="text1" w:themeTint="D9"/>
          <w:sz w:val="20"/>
          <w:lang w:val="en-US" w:eastAsia="fr-BE"/>
        </w:rPr>
        <w:t xml:space="preserve">Regulation (EU) 2017/1369 </w:t>
      </w:r>
      <w:r w:rsidR="0045365B" w:rsidRPr="00C57D4B">
        <w:rPr>
          <w:rFonts w:ascii="Verdana" w:hAnsi="Verdana"/>
          <w:b/>
          <w:bCs/>
          <w:noProof/>
          <w:color w:val="262626" w:themeColor="text1" w:themeTint="D9"/>
          <w:sz w:val="20"/>
          <w:lang w:val="en-US" w:eastAsia="fr-BE"/>
        </w:rPr>
        <w:t xml:space="preserve">of the European Parliament and of the Council with regard to </w:t>
      </w:r>
      <w:r w:rsidRPr="00C57D4B">
        <w:rPr>
          <w:rFonts w:ascii="Verdana" w:hAnsi="Verdana"/>
          <w:b/>
          <w:bCs/>
          <w:noProof/>
          <w:color w:val="262626" w:themeColor="text1" w:themeTint="D9"/>
          <w:sz w:val="20"/>
          <w:lang w:val="en-US" w:eastAsia="fr-BE"/>
        </w:rPr>
        <w:t xml:space="preserve">the energy labelling of professional refrigerated storage cabinets, scientific and healthcare </w:t>
      </w:r>
      <w:r w:rsidR="00396092">
        <w:rPr>
          <w:rFonts w:ascii="Verdana" w:hAnsi="Verdana"/>
          <w:b/>
          <w:bCs/>
          <w:noProof/>
          <w:color w:val="262626" w:themeColor="text1" w:themeTint="D9"/>
          <w:sz w:val="20"/>
          <w:lang w:val="en-US" w:eastAsia="fr-BE"/>
        </w:rPr>
        <w:t xml:space="preserve">refrigerated storage </w:t>
      </w:r>
      <w:r w:rsidRPr="00C57D4B">
        <w:rPr>
          <w:rFonts w:ascii="Verdana" w:hAnsi="Verdana"/>
          <w:b/>
          <w:bCs/>
          <w:noProof/>
          <w:color w:val="262626" w:themeColor="text1" w:themeTint="D9"/>
          <w:sz w:val="20"/>
          <w:lang w:val="en-US" w:eastAsia="fr-BE"/>
        </w:rPr>
        <w:t>cabinets and condensing units</w:t>
      </w:r>
      <w:r w:rsidR="0045365B" w:rsidRPr="00C57D4B">
        <w:rPr>
          <w:rFonts w:ascii="Verdana" w:hAnsi="Verdana"/>
          <w:b/>
          <w:bCs/>
          <w:noProof/>
          <w:color w:val="262626" w:themeColor="text1" w:themeTint="D9"/>
          <w:sz w:val="20"/>
          <w:lang w:val="en-US" w:eastAsia="fr-BE"/>
        </w:rPr>
        <w:t>, repealing Regulation (EC) 2015</w:t>
      </w:r>
      <w:r w:rsidR="00C57D4B">
        <w:rPr>
          <w:rFonts w:ascii="Verdana" w:hAnsi="Verdana"/>
          <w:b/>
          <w:bCs/>
          <w:noProof/>
          <w:color w:val="262626" w:themeColor="text1" w:themeTint="D9"/>
          <w:sz w:val="20"/>
          <w:lang w:val="en-US" w:eastAsia="fr-BE"/>
        </w:rPr>
        <w:t>/1094</w:t>
      </w:r>
      <w:r w:rsidR="0045365B" w:rsidRPr="00C57D4B">
        <w:rPr>
          <w:rFonts w:ascii="Verdana" w:hAnsi="Verdana"/>
          <w:b/>
          <w:bCs/>
          <w:noProof/>
          <w:color w:val="262626" w:themeColor="text1" w:themeTint="D9"/>
          <w:sz w:val="20"/>
          <w:lang w:val="en-US" w:eastAsia="fr-BE"/>
        </w:rPr>
        <w:t xml:space="preserve"> </w:t>
      </w:r>
    </w:p>
    <w:p w14:paraId="1ACBC882" w14:textId="77777777" w:rsidR="00527358" w:rsidRPr="00C57D4B" w:rsidRDefault="00527358">
      <w:pPr>
        <w:spacing w:after="0"/>
        <w:jc w:val="left"/>
        <w:rPr>
          <w:rFonts w:ascii="Verdana" w:hAnsi="Verdana"/>
          <w:color w:val="262626" w:themeColor="text1" w:themeTint="D9"/>
          <w:lang w:val="en-US"/>
        </w:rPr>
      </w:pPr>
      <w:r w:rsidRPr="00C57D4B">
        <w:rPr>
          <w:rFonts w:ascii="Verdana" w:hAnsi="Verdana"/>
          <w:color w:val="262626" w:themeColor="text1" w:themeTint="D9"/>
          <w:lang w:val="en-US"/>
        </w:rPr>
        <w:br w:type="page"/>
      </w:r>
    </w:p>
    <w:p w14:paraId="1D2F6115" w14:textId="2F0981F8" w:rsidR="00DB5FD8" w:rsidRPr="00C57D4B" w:rsidRDefault="00AB702D" w:rsidP="0077107D">
      <w:pPr>
        <w:jc w:val="center"/>
        <w:rPr>
          <w:rFonts w:ascii="Verdana" w:hAnsi="Verdana"/>
          <w:color w:val="262626" w:themeColor="text1" w:themeTint="D9"/>
          <w:lang w:val="en-US"/>
        </w:rPr>
      </w:pPr>
      <w:r w:rsidRPr="00C57D4B">
        <w:rPr>
          <w:rFonts w:ascii="Verdana" w:hAnsi="Verdana"/>
          <w:b/>
          <w:bCs/>
          <w:noProof/>
          <w:color w:val="262626" w:themeColor="text1" w:themeTint="D9"/>
          <w:lang w:val="fr-BE" w:eastAsia="fr-BE"/>
        </w:rPr>
        <w:lastRenderedPageBreak/>
        <mc:AlternateContent>
          <mc:Choice Requires="wps">
            <w:drawing>
              <wp:anchor distT="0" distB="0" distL="114300" distR="114300" simplePos="0" relativeHeight="251656704" behindDoc="0" locked="0" layoutInCell="1" allowOverlap="1" wp14:anchorId="0BCFE76C" wp14:editId="12CAF50C">
                <wp:simplePos x="0" y="0"/>
                <wp:positionH relativeFrom="column">
                  <wp:posOffset>52705</wp:posOffset>
                </wp:positionH>
                <wp:positionV relativeFrom="paragraph">
                  <wp:posOffset>481965</wp:posOffset>
                </wp:positionV>
                <wp:extent cx="5645150" cy="1238250"/>
                <wp:effectExtent l="0" t="0" r="12700" b="19050"/>
                <wp:wrapSquare wrapText="bothSides"/>
                <wp:docPr id="3" name="Text Box 3"/>
                <wp:cNvGraphicFramePr/>
                <a:graphic xmlns:a="http://schemas.openxmlformats.org/drawingml/2006/main">
                  <a:graphicData uri="http://schemas.microsoft.com/office/word/2010/wordprocessingShape">
                    <wps:wsp>
                      <wps:cNvSpPr txBox="1"/>
                      <wps:spPr>
                        <a:xfrm>
                          <a:off x="0" y="0"/>
                          <a:ext cx="5645150" cy="1238250"/>
                        </a:xfrm>
                        <a:prstGeom prst="rect">
                          <a:avLst/>
                        </a:prstGeom>
                        <a:solidFill>
                          <a:schemeClr val="lt1"/>
                        </a:solidFill>
                        <a:ln w="6350">
                          <a:solidFill>
                            <a:prstClr val="black"/>
                          </a:solidFill>
                        </a:ln>
                      </wps:spPr>
                      <wps:txbx>
                        <w:txbxContent>
                          <w:p w14:paraId="1F7A0147" w14:textId="39A4FB48" w:rsidR="005F07B8" w:rsidRPr="00EE073E" w:rsidRDefault="005F07B8" w:rsidP="0077107D">
                            <w:pPr>
                              <w:rPr>
                                <w:i/>
                                <w:iCs/>
                                <w:lang w:val="en-US"/>
                              </w:rPr>
                            </w:pPr>
                            <w:r>
                              <w:rPr>
                                <w:i/>
                                <w:iCs/>
                                <w:lang w:val="en-US"/>
                              </w:rPr>
                              <w:t xml:space="preserve">This draft </w:t>
                            </w:r>
                            <w:proofErr w:type="gramStart"/>
                            <w:r>
                              <w:rPr>
                                <w:i/>
                                <w:iCs/>
                                <w:lang w:val="en-US"/>
                              </w:rPr>
                              <w:t>has not been adopted or endorsed by the European Commission</w:t>
                            </w:r>
                            <w:proofErr w:type="gramEnd"/>
                            <w:r>
                              <w:rPr>
                                <w:i/>
                                <w:iCs/>
                                <w:lang w:val="en-US"/>
                              </w:rPr>
                              <w:t xml:space="preserve">. Any view expressed are the preliminary views of the Commission services and may not in any circumstances be regarding as stating an official position of the Commission. The information transmitted </w:t>
                            </w:r>
                            <w:proofErr w:type="gramStart"/>
                            <w:r>
                              <w:rPr>
                                <w:i/>
                                <w:iCs/>
                                <w:lang w:val="en-US"/>
                              </w:rPr>
                              <w:t>is intended</w:t>
                            </w:r>
                            <w:proofErr w:type="gramEnd"/>
                            <w:r>
                              <w:rPr>
                                <w:i/>
                                <w:iCs/>
                                <w:lang w:val="en-US"/>
                              </w:rPr>
                              <w:t xml:space="preserve"> only for the Member State or entity to which it is addressed for discussions and may contain confidential and/or privileged material.</w:t>
                            </w:r>
                            <w:r w:rsidR="000B6D93" w:rsidRPr="000B6D93">
                              <w:t xml:space="preserve"> </w:t>
                            </w:r>
                            <w:r w:rsidR="000B6D93" w:rsidRPr="00B076DE">
                              <w:rPr>
                                <w:b/>
                                <w:i/>
                                <w:iCs/>
                                <w:lang w:val="en-US"/>
                              </w:rPr>
                              <w:t xml:space="preserve">Dates and timelines mentioned in this draft </w:t>
                            </w:r>
                            <w:r w:rsidR="00B076DE" w:rsidRPr="00B076DE">
                              <w:rPr>
                                <w:b/>
                                <w:i/>
                                <w:iCs/>
                                <w:lang w:val="en-US"/>
                              </w:rPr>
                              <w:t xml:space="preserve">may be </w:t>
                            </w:r>
                            <w:r w:rsidR="000B6D93" w:rsidRPr="00B076DE">
                              <w:rPr>
                                <w:b/>
                                <w:i/>
                                <w:iCs/>
                                <w:lang w:val="en-US"/>
                              </w:rPr>
                              <w:t>subject to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BCFE76C" id="_x0000_t202" coordsize="21600,21600" o:spt="202" path="m,l,21600r21600,l21600,xe">
                <v:stroke joinstyle="miter"/>
                <v:path gradientshapeok="t" o:connecttype="rect"/>
              </v:shapetype>
              <v:shape id="Text Box 3" o:spid="_x0000_s1026" type="#_x0000_t202" style="position:absolute;left:0;text-align:left;margin-left:4.15pt;margin-top:37.95pt;width:444.5pt;height:97.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" fillcolor="white [3201]" strokeweight=".5pt">
                <v:textbox>
                  <w:txbxContent>
                    <w:p w14:paraId="1F7A0147" w14:textId="39A4FB48" w:rsidR="005F07B8" w:rsidRPr="00EE073E" w:rsidRDefault="005F07B8" w:rsidP="0077107D">
                      <w:pPr>
                        <w:rPr>
                          <w:i/>
                          <w:iCs/>
                          <w:lang w:val="en-US"/>
                        </w:rPr>
                      </w:pPr>
                      <w:r>
                        <w:rPr>
                          <w:i/>
                          <w:iCs/>
                          <w:lang w:val="en-US"/>
                        </w:rPr>
                        <w:t xml:space="preserve">This draft </w:t>
                      </w:r>
                      <w:proofErr w:type="gramStart"/>
                      <w:r>
                        <w:rPr>
                          <w:i/>
                          <w:iCs/>
                          <w:lang w:val="en-US"/>
                        </w:rPr>
                        <w:t>has not been adopted or endorsed by the European Commission</w:t>
                      </w:r>
                      <w:proofErr w:type="gramEnd"/>
                      <w:r>
                        <w:rPr>
                          <w:i/>
                          <w:iCs/>
                          <w:lang w:val="en-US"/>
                        </w:rPr>
                        <w:t xml:space="preserve">. Any view expressed are the preliminary views of the Commission services and may not in any circumstances be regarding as stating an official position of the Commission. The information transmitted </w:t>
                      </w:r>
                      <w:proofErr w:type="gramStart"/>
                      <w:r>
                        <w:rPr>
                          <w:i/>
                          <w:iCs/>
                          <w:lang w:val="en-US"/>
                        </w:rPr>
                        <w:t>is intended</w:t>
                      </w:r>
                      <w:proofErr w:type="gramEnd"/>
                      <w:r>
                        <w:rPr>
                          <w:i/>
                          <w:iCs/>
                          <w:lang w:val="en-US"/>
                        </w:rPr>
                        <w:t xml:space="preserve"> only for the Member State or entity to which it is addressed for discussions and may contain confidential and/or privileged material.</w:t>
                      </w:r>
                      <w:r w:rsidR="000B6D93" w:rsidRPr="000B6D93">
                        <w:t xml:space="preserve"> </w:t>
                      </w:r>
                      <w:r w:rsidR="000B6D93" w:rsidRPr="00B076DE">
                        <w:rPr>
                          <w:b/>
                          <w:i/>
                          <w:iCs/>
                          <w:lang w:val="en-US"/>
                        </w:rPr>
                        <w:t xml:space="preserve">Dates and timelines mentioned in this draft </w:t>
                      </w:r>
                      <w:r w:rsidR="00B076DE" w:rsidRPr="00B076DE">
                        <w:rPr>
                          <w:b/>
                          <w:i/>
                          <w:iCs/>
                          <w:lang w:val="en-US"/>
                        </w:rPr>
                        <w:t xml:space="preserve">may be </w:t>
                      </w:r>
                      <w:r w:rsidR="000B6D93" w:rsidRPr="00B076DE">
                        <w:rPr>
                          <w:b/>
                          <w:i/>
                          <w:iCs/>
                          <w:lang w:val="en-US"/>
                        </w:rPr>
                        <w:t>subject to change.</w:t>
                      </w:r>
                    </w:p>
                  </w:txbxContent>
                </v:textbox>
                <w10:wrap type="square"/>
              </v:shape>
            </w:pict>
          </mc:Fallback>
        </mc:AlternateContent>
      </w:r>
    </w:p>
    <w:p w14:paraId="0D1B2405" w14:textId="77777777" w:rsidR="00DB5FD8" w:rsidRPr="00C57D4B" w:rsidRDefault="00DB5FD8" w:rsidP="0077107D">
      <w:pPr>
        <w:jc w:val="center"/>
        <w:rPr>
          <w:rFonts w:ascii="Verdana" w:hAnsi="Verdana"/>
          <w:color w:val="262626" w:themeColor="text1" w:themeTint="D9"/>
          <w:lang w:val="en-US"/>
        </w:rPr>
      </w:pPr>
    </w:p>
    <w:p w14:paraId="1E6314BF" w14:textId="77777777" w:rsidR="00DB5FD8" w:rsidRPr="00C57D4B" w:rsidRDefault="00DB5FD8" w:rsidP="0077107D">
      <w:pPr>
        <w:jc w:val="center"/>
        <w:rPr>
          <w:rFonts w:ascii="Verdana" w:hAnsi="Verdana"/>
          <w:color w:val="262626" w:themeColor="text1" w:themeTint="D9"/>
          <w:lang w:val="en-US"/>
        </w:rPr>
      </w:pPr>
    </w:p>
    <w:p w14:paraId="0CE5002E" w14:textId="77777777" w:rsidR="00DB5FD8" w:rsidRPr="00C57D4B" w:rsidRDefault="00DB5FD8" w:rsidP="0077107D">
      <w:pPr>
        <w:jc w:val="center"/>
        <w:rPr>
          <w:rFonts w:ascii="Verdana" w:hAnsi="Verdana"/>
          <w:color w:val="262626" w:themeColor="text1" w:themeTint="D9"/>
          <w:lang w:val="en-US"/>
        </w:rPr>
      </w:pPr>
    </w:p>
    <w:p w14:paraId="0A55BDB3" w14:textId="77777777" w:rsidR="00DB5FD8" w:rsidRPr="00C57D4B" w:rsidRDefault="00DB5FD8" w:rsidP="0077107D">
      <w:pPr>
        <w:jc w:val="center"/>
        <w:rPr>
          <w:rFonts w:ascii="Verdana" w:hAnsi="Verdana"/>
          <w:color w:val="262626" w:themeColor="text1" w:themeTint="D9"/>
          <w:lang w:val="en-US"/>
        </w:rPr>
      </w:pPr>
    </w:p>
    <w:p w14:paraId="4403707B" w14:textId="77777777" w:rsidR="00DB5FD8" w:rsidRPr="00C57D4B" w:rsidRDefault="00DB5FD8" w:rsidP="0077107D">
      <w:pPr>
        <w:jc w:val="center"/>
        <w:rPr>
          <w:rFonts w:ascii="Verdana" w:hAnsi="Verdana"/>
          <w:color w:val="262626" w:themeColor="text1" w:themeTint="D9"/>
          <w:lang w:val="en-US"/>
        </w:rPr>
      </w:pPr>
    </w:p>
    <w:p w14:paraId="1D42DF51" w14:textId="77777777" w:rsidR="00DB5FD8" w:rsidRPr="00C57D4B" w:rsidRDefault="00DB5FD8" w:rsidP="0077107D">
      <w:pPr>
        <w:jc w:val="center"/>
        <w:rPr>
          <w:rFonts w:ascii="Verdana" w:hAnsi="Verdana"/>
          <w:color w:val="262626" w:themeColor="text1" w:themeTint="D9"/>
          <w:lang w:val="en-US"/>
        </w:rPr>
      </w:pPr>
    </w:p>
    <w:p w14:paraId="5D4DF6E1" w14:textId="77777777" w:rsidR="00DB5FD8" w:rsidRPr="00C57D4B" w:rsidRDefault="00DB5FD8" w:rsidP="0077107D">
      <w:pPr>
        <w:jc w:val="center"/>
        <w:rPr>
          <w:rFonts w:ascii="Verdana" w:hAnsi="Verdana"/>
          <w:color w:val="262626" w:themeColor="text1" w:themeTint="D9"/>
          <w:lang w:val="en-US"/>
        </w:rPr>
      </w:pPr>
    </w:p>
    <w:p w14:paraId="42DD2A9B" w14:textId="77777777" w:rsidR="00DB5FD8" w:rsidRPr="00C57D4B" w:rsidRDefault="00DB5FD8" w:rsidP="0077107D">
      <w:pPr>
        <w:jc w:val="center"/>
        <w:rPr>
          <w:rFonts w:ascii="Verdana" w:hAnsi="Verdana"/>
          <w:color w:val="262626" w:themeColor="text1" w:themeTint="D9"/>
          <w:lang w:val="en-US"/>
        </w:rPr>
      </w:pPr>
    </w:p>
    <w:p w14:paraId="6F3E07F1" w14:textId="77777777" w:rsidR="00DB5FD8" w:rsidRPr="00C57D4B" w:rsidRDefault="00DB5FD8" w:rsidP="0077107D">
      <w:pPr>
        <w:jc w:val="center"/>
        <w:rPr>
          <w:rFonts w:ascii="Verdana" w:hAnsi="Verdana"/>
          <w:color w:val="262626" w:themeColor="text1" w:themeTint="D9"/>
          <w:lang w:val="en-US"/>
        </w:rPr>
      </w:pPr>
    </w:p>
    <w:p w14:paraId="1E7EF048" w14:textId="77777777" w:rsidR="00DB5FD8" w:rsidRPr="00C57D4B" w:rsidRDefault="00DB5FD8" w:rsidP="0077107D">
      <w:pPr>
        <w:jc w:val="center"/>
        <w:rPr>
          <w:rFonts w:ascii="Verdana" w:hAnsi="Verdana"/>
          <w:color w:val="262626" w:themeColor="text1" w:themeTint="D9"/>
          <w:lang w:val="en-US"/>
        </w:rPr>
      </w:pPr>
    </w:p>
    <w:p w14:paraId="2A68F6C1" w14:textId="77777777" w:rsidR="00DB5FD8" w:rsidRPr="00C57D4B" w:rsidRDefault="00DB5FD8" w:rsidP="0077107D">
      <w:pPr>
        <w:jc w:val="center"/>
        <w:rPr>
          <w:rFonts w:ascii="Verdana" w:hAnsi="Verdana"/>
          <w:color w:val="262626" w:themeColor="text1" w:themeTint="D9"/>
          <w:lang w:val="en-US"/>
        </w:rPr>
      </w:pPr>
    </w:p>
    <w:p w14:paraId="7F3609BC" w14:textId="77777777" w:rsidR="00DB5FD8" w:rsidRPr="00C57D4B" w:rsidRDefault="00DB5FD8" w:rsidP="0077107D">
      <w:pPr>
        <w:jc w:val="center"/>
        <w:rPr>
          <w:rFonts w:ascii="Verdana" w:hAnsi="Verdana"/>
          <w:color w:val="262626" w:themeColor="text1" w:themeTint="D9"/>
          <w:lang w:val="en-US"/>
        </w:rPr>
      </w:pPr>
    </w:p>
    <w:p w14:paraId="108FC5C4" w14:textId="77777777" w:rsidR="00DB5FD8" w:rsidRPr="00C57D4B" w:rsidRDefault="00DB5FD8" w:rsidP="0077107D">
      <w:pPr>
        <w:jc w:val="center"/>
        <w:rPr>
          <w:rFonts w:ascii="Verdana" w:hAnsi="Verdana"/>
          <w:color w:val="262626" w:themeColor="text1" w:themeTint="D9"/>
          <w:lang w:val="en-US"/>
        </w:rPr>
      </w:pPr>
    </w:p>
    <w:p w14:paraId="5C31108F" w14:textId="77777777" w:rsidR="00DB5FD8" w:rsidRPr="00C57D4B" w:rsidRDefault="00DB5FD8" w:rsidP="0077107D">
      <w:pPr>
        <w:jc w:val="center"/>
        <w:rPr>
          <w:rFonts w:ascii="Verdana" w:hAnsi="Verdana"/>
          <w:color w:val="262626" w:themeColor="text1" w:themeTint="D9"/>
          <w:lang w:val="en-US"/>
        </w:rPr>
      </w:pPr>
    </w:p>
    <w:p w14:paraId="188431CC" w14:textId="77777777" w:rsidR="00DB5FD8" w:rsidRPr="00C57D4B" w:rsidRDefault="00DB5FD8" w:rsidP="0077107D">
      <w:pPr>
        <w:jc w:val="center"/>
        <w:rPr>
          <w:rFonts w:ascii="Verdana" w:hAnsi="Verdana"/>
          <w:color w:val="262626" w:themeColor="text1" w:themeTint="D9"/>
          <w:lang w:val="en-US"/>
        </w:rPr>
      </w:pPr>
    </w:p>
    <w:p w14:paraId="518322F3" w14:textId="77777777" w:rsidR="00DB5FD8" w:rsidRPr="00C57D4B" w:rsidRDefault="00DB5FD8" w:rsidP="0077107D">
      <w:pPr>
        <w:jc w:val="center"/>
        <w:rPr>
          <w:rFonts w:ascii="Verdana" w:hAnsi="Verdana"/>
          <w:color w:val="262626" w:themeColor="text1" w:themeTint="D9"/>
          <w:lang w:val="en-US"/>
        </w:rPr>
      </w:pPr>
    </w:p>
    <w:p w14:paraId="41C53E98" w14:textId="22773042" w:rsidR="00DB5FD8" w:rsidRPr="00C57D4B" w:rsidRDefault="00DB5FD8" w:rsidP="0077107D">
      <w:pPr>
        <w:jc w:val="center"/>
        <w:rPr>
          <w:rFonts w:ascii="Verdana" w:hAnsi="Verdana"/>
          <w:color w:val="262626" w:themeColor="text1" w:themeTint="D9"/>
          <w:lang w:val="en-US"/>
        </w:rPr>
        <w:sectPr w:rsidR="00DB5FD8" w:rsidRPr="00C57D4B" w:rsidSect="0011489D">
          <w:headerReference w:type="default" r:id="rId11"/>
          <w:footerReference w:type="default" r:id="rId12"/>
          <w:pgSz w:w="11907" w:h="16839"/>
          <w:pgMar w:top="1134" w:right="1417" w:bottom="1134" w:left="1417" w:header="720" w:footer="458" w:gutter="0"/>
          <w:cols w:space="720"/>
          <w:docGrid w:linePitch="360"/>
        </w:sectPr>
      </w:pPr>
    </w:p>
    <w:p w14:paraId="46FF2569" w14:textId="77777777" w:rsidR="0077107D" w:rsidRPr="00C57D4B" w:rsidRDefault="0077107D" w:rsidP="0077107D">
      <w:pPr>
        <w:pStyle w:val="ManualHeading1"/>
        <w:rPr>
          <w:rFonts w:ascii="Verdana" w:hAnsi="Verdana"/>
          <w:color w:val="262626" w:themeColor="text1" w:themeTint="D9"/>
        </w:rPr>
      </w:pPr>
      <w:bookmarkStart w:id="1" w:name="context"/>
      <w:bookmarkEnd w:id="1"/>
      <w:r w:rsidRPr="00C57D4B">
        <w:rPr>
          <w:rFonts w:ascii="Verdana" w:hAnsi="Verdana"/>
          <w:color w:val="262626" w:themeColor="text1" w:themeTint="D9"/>
        </w:rPr>
        <w:lastRenderedPageBreak/>
        <w:t>1.</w:t>
      </w:r>
      <w:r w:rsidRPr="00C57D4B">
        <w:rPr>
          <w:rFonts w:ascii="Verdana" w:hAnsi="Verdana"/>
          <w:color w:val="262626" w:themeColor="text1" w:themeTint="D9"/>
        </w:rPr>
        <w:tab/>
        <w:t>CONTEXT OF THE PROPOSAL</w:t>
      </w:r>
    </w:p>
    <w:p w14:paraId="454AFEF7" w14:textId="77777777" w:rsidR="0077107D" w:rsidRPr="00C57D4B" w:rsidRDefault="0077107D" w:rsidP="0047247A">
      <w:pPr>
        <w:spacing w:line="276" w:lineRule="auto"/>
        <w:rPr>
          <w:rFonts w:ascii="Verdana" w:hAnsi="Verdana"/>
          <w:b/>
          <w:color w:val="262626" w:themeColor="text1" w:themeTint="D9"/>
          <w:sz w:val="20"/>
        </w:rPr>
      </w:pPr>
    </w:p>
    <w:p w14:paraId="6924310E" w14:textId="6FB76CA4" w:rsidR="0077107D" w:rsidRPr="00C57D4B" w:rsidRDefault="00DF6DE5" w:rsidP="00CE3DEA">
      <w:pPr>
        <w:pStyle w:val="Heading2"/>
        <w:tabs>
          <w:tab w:val="clear" w:pos="1712"/>
        </w:tabs>
      </w:pPr>
      <w:r w:rsidRPr="00C57D4B">
        <w:t>Introduction</w:t>
      </w:r>
      <w:r w:rsidR="0077107D" w:rsidRPr="00C57D4B">
        <w:t xml:space="preserve"> and </w:t>
      </w:r>
      <w:r w:rsidR="00E93829" w:rsidRPr="00C57D4B">
        <w:t xml:space="preserve">general </w:t>
      </w:r>
      <w:r w:rsidR="0077107D" w:rsidRPr="00C57D4B">
        <w:t>objectives of the proposal</w:t>
      </w:r>
    </w:p>
    <w:p w14:paraId="32C839FD" w14:textId="42F8B27A" w:rsidR="00F06B43" w:rsidRPr="00C57D4B" w:rsidRDefault="00F06B43" w:rsidP="00F06B43">
      <w:pPr>
        <w:spacing w:line="276" w:lineRule="auto"/>
        <w:rPr>
          <w:rFonts w:ascii="Verdana" w:hAnsi="Verdana"/>
          <w:color w:val="262626" w:themeColor="text1" w:themeTint="D9"/>
          <w:sz w:val="20"/>
        </w:rPr>
      </w:pPr>
      <w:r w:rsidRPr="00C57D4B">
        <w:rPr>
          <w:rFonts w:ascii="Verdana" w:hAnsi="Verdana"/>
          <w:color w:val="262626" w:themeColor="text1" w:themeTint="D9"/>
          <w:sz w:val="20"/>
        </w:rPr>
        <w:t>This explanatory memorandum aims to give further background to the proposal for a review by the European Commission of Ecodesign Commission Regulation (EU) 2015/1095</w:t>
      </w:r>
      <w:r w:rsidRPr="00C57D4B">
        <w:rPr>
          <w:rStyle w:val="FootnoteReference"/>
          <w:rFonts w:ascii="Verdana" w:hAnsi="Verdana"/>
          <w:color w:val="262626" w:themeColor="text1" w:themeTint="D9"/>
        </w:rPr>
        <w:footnoteReference w:id="1"/>
      </w:r>
      <w:r w:rsidRPr="00C57D4B">
        <w:rPr>
          <w:rFonts w:ascii="Verdana" w:hAnsi="Verdana"/>
          <w:color w:val="262626" w:themeColor="text1" w:themeTint="D9"/>
          <w:sz w:val="20"/>
        </w:rPr>
        <w:t xml:space="preserve"> on the ecodesign of professional refrigeration products and Commission Delegated Regulation (EU) 2015/1094</w:t>
      </w:r>
      <w:r w:rsidRPr="00C57D4B">
        <w:rPr>
          <w:rStyle w:val="FootnoteReference"/>
          <w:rFonts w:ascii="Verdana" w:hAnsi="Verdana"/>
          <w:color w:val="262626" w:themeColor="text1" w:themeTint="D9"/>
        </w:rPr>
        <w:footnoteReference w:id="2"/>
      </w:r>
      <w:r w:rsidRPr="00C57D4B">
        <w:rPr>
          <w:rFonts w:ascii="Verdana" w:hAnsi="Verdana"/>
          <w:color w:val="262626" w:themeColor="text1" w:themeTint="D9"/>
          <w:sz w:val="20"/>
        </w:rPr>
        <w:t xml:space="preserve"> energy labelling of professional refrigerated storage cabinets, following the revision clauses in both regulations.</w:t>
      </w:r>
    </w:p>
    <w:p w14:paraId="12C68A38" w14:textId="7F73B0DC" w:rsidR="005A05EF" w:rsidRPr="00C57D4B" w:rsidRDefault="005A05EF" w:rsidP="005A05EF">
      <w:pPr>
        <w:spacing w:line="276" w:lineRule="auto"/>
        <w:rPr>
          <w:rFonts w:ascii="Verdana" w:hAnsi="Verdana"/>
          <w:color w:val="262626" w:themeColor="text1" w:themeTint="D9"/>
          <w:sz w:val="20"/>
        </w:rPr>
      </w:pPr>
      <w:r w:rsidRPr="00C57D4B">
        <w:rPr>
          <w:rFonts w:ascii="Verdana" w:hAnsi="Verdana"/>
          <w:color w:val="262626" w:themeColor="text1" w:themeTint="D9"/>
          <w:sz w:val="20"/>
        </w:rPr>
        <w:t>The EU has longstanding objectives to increase energy efficiency and to reduce its greenhouse gas emissions. These go along with other objectives to reduce its environmental impacts. In December 2019, the Commission presented the European Green Deal</w:t>
      </w:r>
      <w:r w:rsidR="000F1A0A" w:rsidRPr="00C57D4B">
        <w:rPr>
          <w:rStyle w:val="FootnoteReference"/>
          <w:rFonts w:ascii="Verdana" w:hAnsi="Verdana"/>
          <w:color w:val="262626" w:themeColor="text1" w:themeTint="D9"/>
        </w:rPr>
        <w:footnoteReference w:id="3"/>
      </w:r>
      <w:r w:rsidRPr="00C57D4B">
        <w:rPr>
          <w:rFonts w:ascii="Verdana" w:hAnsi="Verdana"/>
          <w:color w:val="262626" w:themeColor="text1" w:themeTint="D9"/>
          <w:sz w:val="20"/>
        </w:rPr>
        <w:t xml:space="preserve"> to strengthen these objectives and as the cornerstone of its strategy to fulfil the United Nation’s 2030 Agenda for Sustainable Development</w:t>
      </w:r>
      <w:r w:rsidR="000F1A0A" w:rsidRPr="00C57D4B">
        <w:rPr>
          <w:rStyle w:val="FootnoteReference"/>
          <w:rFonts w:ascii="Verdana" w:hAnsi="Verdana"/>
          <w:color w:val="262626" w:themeColor="text1" w:themeTint="D9"/>
        </w:rPr>
        <w:footnoteReference w:id="4"/>
      </w:r>
      <w:r w:rsidRPr="00C57D4B">
        <w:rPr>
          <w:rFonts w:ascii="Verdana" w:hAnsi="Verdana"/>
          <w:color w:val="262626" w:themeColor="text1" w:themeTint="D9"/>
          <w:sz w:val="20"/>
        </w:rPr>
        <w:t>. In September 2020, it presented a Climate Target Plan (CTP) for 2030</w:t>
      </w:r>
      <w:r w:rsidR="000F1A0A" w:rsidRPr="00C57D4B">
        <w:rPr>
          <w:rStyle w:val="FootnoteReference"/>
          <w:rFonts w:ascii="Verdana" w:hAnsi="Verdana"/>
          <w:color w:val="262626" w:themeColor="text1" w:themeTint="D9"/>
        </w:rPr>
        <w:footnoteReference w:id="5"/>
      </w:r>
      <w:r w:rsidRPr="00C57D4B">
        <w:rPr>
          <w:rFonts w:ascii="Verdana" w:hAnsi="Verdana"/>
          <w:color w:val="262626" w:themeColor="text1" w:themeTint="D9"/>
          <w:sz w:val="20"/>
        </w:rPr>
        <w:t>, showing the need for a higher contribution of energy efficiency and renewable energy to achieve a net 55</w:t>
      </w:r>
      <w:r w:rsidR="00E450CF">
        <w:rPr>
          <w:rFonts w:ascii="Verdana" w:hAnsi="Verdana"/>
          <w:color w:val="262626" w:themeColor="text1" w:themeTint="D9"/>
          <w:sz w:val="20"/>
        </w:rPr>
        <w:t xml:space="preserve"> </w:t>
      </w:r>
      <w:r w:rsidRPr="00C57D4B">
        <w:rPr>
          <w:rFonts w:ascii="Verdana" w:hAnsi="Verdana"/>
          <w:color w:val="262626" w:themeColor="text1" w:themeTint="D9"/>
          <w:sz w:val="20"/>
        </w:rPr>
        <w:t>% GHG emission reduction most cost-effectively, in line with the Paris Agreement. The Commission followed this by proposing the “Fit for 55” package</w:t>
      </w:r>
      <w:r w:rsidR="000F1A0A" w:rsidRPr="00C57D4B">
        <w:rPr>
          <w:rStyle w:val="FootnoteReference"/>
          <w:rFonts w:ascii="Verdana" w:hAnsi="Verdana"/>
          <w:color w:val="262626" w:themeColor="text1" w:themeTint="D9"/>
        </w:rPr>
        <w:footnoteReference w:id="6"/>
      </w:r>
      <w:r w:rsidRPr="00C57D4B">
        <w:rPr>
          <w:rFonts w:ascii="Verdana" w:hAnsi="Verdana"/>
          <w:color w:val="262626" w:themeColor="text1" w:themeTint="D9"/>
          <w:sz w:val="20"/>
        </w:rPr>
        <w:t xml:space="preserve"> of legislative proposals aiming to achieve the necessary cut in GHG emissions.</w:t>
      </w:r>
    </w:p>
    <w:p w14:paraId="65B1346C" w14:textId="3C958020" w:rsidR="005A05EF" w:rsidRPr="00C57D4B" w:rsidRDefault="005A05EF" w:rsidP="005A05EF">
      <w:pPr>
        <w:spacing w:line="276" w:lineRule="auto"/>
        <w:rPr>
          <w:rFonts w:ascii="Verdana" w:hAnsi="Verdana"/>
          <w:color w:val="262626" w:themeColor="text1" w:themeTint="D9"/>
          <w:sz w:val="20"/>
        </w:rPr>
      </w:pPr>
      <w:r w:rsidRPr="00C57D4B">
        <w:rPr>
          <w:rFonts w:ascii="Verdana" w:hAnsi="Verdana"/>
          <w:color w:val="262626" w:themeColor="text1" w:themeTint="D9"/>
          <w:sz w:val="20"/>
        </w:rPr>
        <w:t>One pillar of the CTP and subsequently the ‘Fit for 55’ package is energy efficiency</w:t>
      </w:r>
      <w:r w:rsidR="00E93829" w:rsidRPr="00C57D4B">
        <w:rPr>
          <w:rFonts w:ascii="Verdana" w:hAnsi="Verdana"/>
          <w:color w:val="262626" w:themeColor="text1" w:themeTint="D9"/>
          <w:sz w:val="20"/>
        </w:rPr>
        <w:t>.</w:t>
      </w:r>
      <w:r w:rsidRPr="00C57D4B">
        <w:rPr>
          <w:rFonts w:ascii="Verdana" w:hAnsi="Verdana"/>
          <w:color w:val="262626" w:themeColor="text1" w:themeTint="D9"/>
          <w:sz w:val="20"/>
        </w:rPr>
        <w:t xml:space="preserve"> In this context, the ecodesign and energy labelling rules for products arise as important instruments to realise EU’s energy and decarbonisation objectives.</w:t>
      </w:r>
    </w:p>
    <w:p w14:paraId="3F8B34A1" w14:textId="727C6AFD" w:rsidR="005A05EF" w:rsidRPr="00C57D4B" w:rsidRDefault="005A05EF" w:rsidP="005A05EF">
      <w:pPr>
        <w:spacing w:line="276" w:lineRule="auto"/>
        <w:rPr>
          <w:rFonts w:ascii="Verdana" w:hAnsi="Verdana"/>
          <w:color w:val="262626" w:themeColor="text1" w:themeTint="D9"/>
          <w:sz w:val="20"/>
        </w:rPr>
      </w:pPr>
      <w:r w:rsidRPr="00C57D4B">
        <w:rPr>
          <w:rFonts w:ascii="Verdana" w:hAnsi="Verdana"/>
          <w:color w:val="262626" w:themeColor="text1" w:themeTint="D9"/>
          <w:sz w:val="20"/>
        </w:rPr>
        <w:t>Another pillar of the European Green Deal is a more circular economy. The new Circular Economy Action Plan</w:t>
      </w:r>
      <w:r w:rsidR="009F6645" w:rsidRPr="00C57D4B">
        <w:rPr>
          <w:rStyle w:val="FootnoteReference"/>
          <w:rFonts w:ascii="Verdana" w:hAnsi="Verdana"/>
          <w:color w:val="262626" w:themeColor="text1" w:themeTint="D9"/>
        </w:rPr>
        <w:footnoteReference w:id="7"/>
      </w:r>
      <w:r w:rsidRPr="00C57D4B">
        <w:rPr>
          <w:rFonts w:ascii="Verdana" w:hAnsi="Verdana"/>
          <w:color w:val="262626" w:themeColor="text1" w:themeTint="D9"/>
          <w:sz w:val="20"/>
        </w:rPr>
        <w:t xml:space="preserve"> sets out steps to work towards this. It aims to reduce product environmental impacts for example through promoting longer product lives, greater resource efficiency and enhancing recycling and recycled content. The Ecodesign and Energy Labelling Working Plan 2022-2024</w:t>
      </w:r>
      <w:r w:rsidR="009F6645" w:rsidRPr="00C57D4B">
        <w:rPr>
          <w:rStyle w:val="FootnoteReference"/>
          <w:rFonts w:ascii="Verdana" w:hAnsi="Verdana"/>
          <w:color w:val="262626" w:themeColor="text1" w:themeTint="D9"/>
        </w:rPr>
        <w:footnoteReference w:id="8"/>
      </w:r>
      <w:r w:rsidR="001C23D1" w:rsidRPr="00C57D4B">
        <w:rPr>
          <w:rFonts w:ascii="Verdana" w:hAnsi="Verdana"/>
          <w:color w:val="262626" w:themeColor="text1" w:themeTint="D9"/>
          <w:sz w:val="20"/>
        </w:rPr>
        <w:t xml:space="preserve"> incorporated the review of professional refrigeration appliances and</w:t>
      </w:r>
      <w:r w:rsidRPr="00C57D4B">
        <w:rPr>
          <w:rFonts w:ascii="Verdana" w:hAnsi="Verdana"/>
          <w:color w:val="262626" w:themeColor="text1" w:themeTint="D9"/>
          <w:sz w:val="20"/>
        </w:rPr>
        <w:t xml:space="preserve">, as in the previous plan, identified ecodesign measures’ potential to contribute to circular economy objectives. </w:t>
      </w:r>
    </w:p>
    <w:p w14:paraId="5A6EDE1A" w14:textId="72C0D510" w:rsidR="005A05EF" w:rsidRPr="00C57D4B" w:rsidRDefault="005A05EF" w:rsidP="005A05EF">
      <w:pPr>
        <w:spacing w:line="276" w:lineRule="auto"/>
        <w:rPr>
          <w:rFonts w:ascii="Verdana" w:hAnsi="Verdana"/>
          <w:color w:val="262626" w:themeColor="text1" w:themeTint="D9"/>
          <w:sz w:val="20"/>
        </w:rPr>
      </w:pPr>
      <w:r w:rsidRPr="00C57D4B">
        <w:rPr>
          <w:rFonts w:ascii="Verdana" w:hAnsi="Verdana"/>
          <w:color w:val="262626" w:themeColor="text1" w:themeTint="D9"/>
          <w:sz w:val="20"/>
        </w:rPr>
        <w:t>Reducing energy use and promoting the circular economy are also important for</w:t>
      </w:r>
      <w:r w:rsidR="00E93829" w:rsidRPr="00C57D4B">
        <w:rPr>
          <w:rFonts w:ascii="Verdana" w:hAnsi="Verdana"/>
          <w:color w:val="262626" w:themeColor="text1" w:themeTint="D9"/>
          <w:sz w:val="20"/>
        </w:rPr>
        <w:t xml:space="preserve"> </w:t>
      </w:r>
      <w:r w:rsidRPr="00C57D4B">
        <w:rPr>
          <w:rFonts w:ascii="Verdana" w:hAnsi="Verdana"/>
          <w:color w:val="262626" w:themeColor="text1" w:themeTint="D9"/>
          <w:sz w:val="20"/>
        </w:rPr>
        <w:t>reduc</w:t>
      </w:r>
      <w:r w:rsidR="00E93829" w:rsidRPr="00C57D4B">
        <w:rPr>
          <w:rFonts w:ascii="Verdana" w:hAnsi="Verdana"/>
          <w:color w:val="262626" w:themeColor="text1" w:themeTint="D9"/>
          <w:sz w:val="20"/>
        </w:rPr>
        <w:t>ing</w:t>
      </w:r>
      <w:r w:rsidRPr="00C57D4B">
        <w:rPr>
          <w:rFonts w:ascii="Verdana" w:hAnsi="Verdana"/>
          <w:color w:val="262626" w:themeColor="text1" w:themeTint="D9"/>
          <w:sz w:val="20"/>
        </w:rPr>
        <w:t xml:space="preserve"> the EU’s energy import dependence and </w:t>
      </w:r>
      <w:r w:rsidR="00E93829" w:rsidRPr="00C57D4B">
        <w:rPr>
          <w:rFonts w:ascii="Verdana" w:hAnsi="Verdana"/>
          <w:color w:val="262626" w:themeColor="text1" w:themeTint="D9"/>
          <w:sz w:val="20"/>
        </w:rPr>
        <w:t xml:space="preserve">improving </w:t>
      </w:r>
      <w:r w:rsidRPr="00C57D4B">
        <w:rPr>
          <w:rFonts w:ascii="Verdana" w:hAnsi="Verdana"/>
          <w:color w:val="262626" w:themeColor="text1" w:themeTint="D9"/>
          <w:sz w:val="20"/>
        </w:rPr>
        <w:t>energy security, aspects that are particularly relevant in the current context of continuous increase of energy prices</w:t>
      </w:r>
      <w:r w:rsidR="00E93829" w:rsidRPr="00C57D4B">
        <w:rPr>
          <w:rFonts w:ascii="Verdana" w:hAnsi="Verdana"/>
          <w:color w:val="262626" w:themeColor="text1" w:themeTint="D9"/>
          <w:sz w:val="20"/>
        </w:rPr>
        <w:t xml:space="preserve"> and </w:t>
      </w:r>
      <w:r w:rsidR="00E93829" w:rsidRPr="00C57D4B">
        <w:rPr>
          <w:rFonts w:ascii="Verdana" w:hAnsi="Verdana"/>
          <w:color w:val="262626" w:themeColor="text1" w:themeTint="D9"/>
          <w:sz w:val="20"/>
        </w:rPr>
        <w:lastRenderedPageBreak/>
        <w:t>r</w:t>
      </w:r>
      <w:r w:rsidRPr="00C57D4B">
        <w:rPr>
          <w:rFonts w:ascii="Verdana" w:hAnsi="Verdana"/>
          <w:color w:val="262626" w:themeColor="text1" w:themeTint="D9"/>
          <w:sz w:val="20"/>
        </w:rPr>
        <w:t>ecent geopolitical events. On 18 May 2022, the Commission published its “</w:t>
      </w:r>
      <w:proofErr w:type="spellStart"/>
      <w:r w:rsidRPr="00C57D4B">
        <w:rPr>
          <w:rFonts w:ascii="Verdana" w:hAnsi="Verdana"/>
          <w:color w:val="262626" w:themeColor="text1" w:themeTint="D9"/>
          <w:sz w:val="20"/>
        </w:rPr>
        <w:t>REPowerEU</w:t>
      </w:r>
      <w:proofErr w:type="spellEnd"/>
      <w:r w:rsidRPr="00C57D4B">
        <w:rPr>
          <w:rFonts w:ascii="Verdana" w:hAnsi="Verdana"/>
          <w:color w:val="262626" w:themeColor="text1" w:themeTint="D9"/>
          <w:sz w:val="20"/>
        </w:rPr>
        <w:t xml:space="preserve"> Plan” Communication</w:t>
      </w:r>
      <w:r w:rsidR="00113E5D">
        <w:rPr>
          <w:rStyle w:val="FootnoteReference"/>
          <w:rFonts w:ascii="Verdana" w:hAnsi="Verdana"/>
          <w:color w:val="262626" w:themeColor="text1" w:themeTint="D9"/>
        </w:rPr>
        <w:footnoteReference w:id="9"/>
      </w:r>
      <w:r w:rsidRPr="00C57D4B">
        <w:rPr>
          <w:rFonts w:ascii="Verdana" w:hAnsi="Verdana"/>
          <w:color w:val="262626" w:themeColor="text1" w:themeTint="D9"/>
          <w:sz w:val="20"/>
        </w:rPr>
        <w:t xml:space="preserve"> aimed at rapidly reducing EU dependence on Russian fossil fuels. </w:t>
      </w:r>
    </w:p>
    <w:p w14:paraId="51D14711" w14:textId="72A54881" w:rsidR="00DF3634" w:rsidRPr="00C57D4B" w:rsidRDefault="00DF3634" w:rsidP="00DF3634">
      <w:pPr>
        <w:spacing w:line="276" w:lineRule="auto"/>
        <w:rPr>
          <w:rFonts w:ascii="Verdana" w:hAnsi="Verdana"/>
          <w:color w:val="262626" w:themeColor="text1" w:themeTint="D9"/>
          <w:sz w:val="20"/>
        </w:rPr>
      </w:pPr>
      <w:r w:rsidRPr="00C57D4B">
        <w:rPr>
          <w:rFonts w:ascii="Verdana" w:hAnsi="Verdana"/>
          <w:color w:val="262626" w:themeColor="text1" w:themeTint="D9"/>
          <w:sz w:val="20"/>
        </w:rPr>
        <w:t>The Ecodesign Directive</w:t>
      </w:r>
      <w:r w:rsidR="00C664FD" w:rsidRPr="00C57D4B">
        <w:rPr>
          <w:rStyle w:val="FootnoteReference"/>
          <w:rFonts w:ascii="Verdana" w:hAnsi="Verdana"/>
          <w:color w:val="262626" w:themeColor="text1" w:themeTint="D9"/>
        </w:rPr>
        <w:footnoteReference w:id="10"/>
      </w:r>
      <w:r w:rsidRPr="00C57D4B">
        <w:rPr>
          <w:rFonts w:ascii="Verdana" w:hAnsi="Verdana"/>
          <w:color w:val="262626" w:themeColor="text1" w:themeTint="D9"/>
          <w:sz w:val="20"/>
        </w:rPr>
        <w:t xml:space="preserve"> aims to address </w:t>
      </w:r>
      <w:r w:rsidR="000E3377" w:rsidRPr="00C57D4B">
        <w:rPr>
          <w:rFonts w:ascii="Verdana" w:hAnsi="Verdana"/>
          <w:color w:val="262626" w:themeColor="text1" w:themeTint="D9"/>
          <w:sz w:val="20"/>
        </w:rPr>
        <w:t xml:space="preserve">market barriers to the uptake of more energy efficient and sustainable products </w:t>
      </w:r>
      <w:r w:rsidRPr="00C57D4B">
        <w:rPr>
          <w:rFonts w:ascii="Verdana" w:hAnsi="Verdana"/>
          <w:color w:val="262626" w:themeColor="text1" w:themeTint="D9"/>
          <w:sz w:val="20"/>
        </w:rPr>
        <w:t xml:space="preserve">by setting performance requirements to remove the worst performing products from the EU’s internal market. Being set at EU level, they have mitigated the risk of industry facing multiple, different national rules. The energy assessments aim to ensure that the minimum requirements are set at the level of Least Life cycle Consumer Cost. </w:t>
      </w:r>
      <w:r w:rsidR="000E3377" w:rsidRPr="00C57D4B">
        <w:rPr>
          <w:rFonts w:ascii="Verdana" w:hAnsi="Verdana"/>
          <w:color w:val="262626" w:themeColor="text1" w:themeTint="D9"/>
          <w:sz w:val="20"/>
        </w:rPr>
        <w:t>The 2017 E</w:t>
      </w:r>
      <w:r w:rsidRPr="00C57D4B">
        <w:rPr>
          <w:rFonts w:ascii="Verdana" w:hAnsi="Verdana"/>
          <w:color w:val="262626" w:themeColor="text1" w:themeTint="D9"/>
          <w:sz w:val="20"/>
        </w:rPr>
        <w:t>nergy labelling</w:t>
      </w:r>
      <w:r w:rsidR="000E3377" w:rsidRPr="00C57D4B">
        <w:rPr>
          <w:rFonts w:ascii="Verdana" w:hAnsi="Verdana"/>
          <w:color w:val="262626" w:themeColor="text1" w:themeTint="D9"/>
          <w:sz w:val="20"/>
        </w:rPr>
        <w:t xml:space="preserve"> regulation</w:t>
      </w:r>
      <w:r w:rsidR="000E3377" w:rsidRPr="00C57D4B">
        <w:rPr>
          <w:rStyle w:val="FootnoteReference"/>
          <w:rFonts w:ascii="Verdana" w:hAnsi="Verdana"/>
          <w:color w:val="262626" w:themeColor="text1" w:themeTint="D9"/>
        </w:rPr>
        <w:footnoteReference w:id="11"/>
      </w:r>
      <w:r w:rsidRPr="00C57D4B">
        <w:rPr>
          <w:rFonts w:ascii="Verdana" w:hAnsi="Verdana"/>
          <w:color w:val="262626" w:themeColor="text1" w:themeTint="D9"/>
          <w:sz w:val="20"/>
        </w:rPr>
        <w:t xml:space="preserve"> </w:t>
      </w:r>
      <w:r w:rsidR="000E3377" w:rsidRPr="00C57D4B">
        <w:rPr>
          <w:rFonts w:ascii="Verdana" w:hAnsi="Verdana"/>
          <w:color w:val="262626" w:themeColor="text1" w:themeTint="D9"/>
          <w:sz w:val="20"/>
        </w:rPr>
        <w:t xml:space="preserve">gives </w:t>
      </w:r>
      <w:r w:rsidRPr="00C57D4B">
        <w:rPr>
          <w:rFonts w:ascii="Verdana" w:hAnsi="Verdana"/>
          <w:color w:val="262626" w:themeColor="text1" w:themeTint="D9"/>
          <w:sz w:val="20"/>
        </w:rPr>
        <w:t xml:space="preserve">rules </w:t>
      </w:r>
      <w:r w:rsidR="000E3377" w:rsidRPr="00C57D4B">
        <w:rPr>
          <w:rFonts w:ascii="Verdana" w:hAnsi="Verdana"/>
          <w:color w:val="262626" w:themeColor="text1" w:themeTint="D9"/>
          <w:sz w:val="20"/>
        </w:rPr>
        <w:t xml:space="preserve">on how to </w:t>
      </w:r>
      <w:r w:rsidRPr="00C57D4B">
        <w:rPr>
          <w:rFonts w:ascii="Verdana" w:hAnsi="Verdana"/>
          <w:color w:val="262626" w:themeColor="text1" w:themeTint="D9"/>
          <w:sz w:val="20"/>
        </w:rPr>
        <w:t>inform consumers with the aim of encouraging them to purchase products that have a better energy performance. This has helped consumers to reduce their energy bills by easily identifying and comparing more energy efficient appliances. Nearly 80 % of the EU public recognise the label and say it has influenced their purchase decision</w:t>
      </w:r>
      <w:r w:rsidR="00C664FD" w:rsidRPr="00C57D4B">
        <w:rPr>
          <w:rStyle w:val="FootnoteReference"/>
          <w:rFonts w:ascii="Verdana" w:hAnsi="Verdana"/>
          <w:color w:val="262626" w:themeColor="text1" w:themeTint="D9"/>
        </w:rPr>
        <w:footnoteReference w:id="12"/>
      </w:r>
      <w:r w:rsidRPr="00C57D4B">
        <w:rPr>
          <w:rFonts w:ascii="Verdana" w:hAnsi="Verdana"/>
          <w:color w:val="262626" w:themeColor="text1" w:themeTint="D9"/>
          <w:sz w:val="20"/>
        </w:rPr>
        <w:t xml:space="preserve">, and EU energy labels </w:t>
      </w:r>
      <w:proofErr w:type="gramStart"/>
      <w:r w:rsidRPr="00C57D4B">
        <w:rPr>
          <w:rFonts w:ascii="Verdana" w:hAnsi="Verdana"/>
          <w:color w:val="262626" w:themeColor="text1" w:themeTint="D9"/>
          <w:sz w:val="20"/>
        </w:rPr>
        <w:t>are known, used or replicated outside the EU</w:t>
      </w:r>
      <w:proofErr w:type="gramEnd"/>
      <w:r w:rsidR="00C664FD" w:rsidRPr="00C57D4B">
        <w:rPr>
          <w:rStyle w:val="FootnoteReference"/>
          <w:rFonts w:ascii="Verdana" w:hAnsi="Verdana"/>
          <w:color w:val="262626" w:themeColor="text1" w:themeTint="D9"/>
        </w:rPr>
        <w:footnoteReference w:id="13"/>
      </w:r>
      <w:r w:rsidRPr="00C57D4B">
        <w:rPr>
          <w:rFonts w:ascii="Verdana" w:hAnsi="Verdana"/>
          <w:color w:val="262626" w:themeColor="text1" w:themeTint="D9"/>
          <w:sz w:val="20"/>
        </w:rPr>
        <w:t xml:space="preserve">. </w:t>
      </w:r>
    </w:p>
    <w:p w14:paraId="6E4319FE" w14:textId="0B6B2DC2" w:rsidR="007C7891" w:rsidRPr="00C57D4B" w:rsidRDefault="009B70E5" w:rsidP="00CE3DEA">
      <w:pPr>
        <w:pStyle w:val="Heading2"/>
        <w:tabs>
          <w:tab w:val="clear" w:pos="1712"/>
        </w:tabs>
        <w:rPr>
          <w:rFonts w:cstheme="minorHAnsi"/>
          <w:bCs/>
          <w:i/>
          <w:iCs/>
          <w:u w:val="single"/>
        </w:rPr>
      </w:pPr>
      <w:r w:rsidRPr="00C57D4B">
        <w:t>Product</w:t>
      </w:r>
      <w:r w:rsidR="0048609E" w:rsidRPr="00C57D4B">
        <w:t xml:space="preserve"> s</w:t>
      </w:r>
      <w:r w:rsidR="00FC6F38" w:rsidRPr="00C57D4B">
        <w:t>cope</w:t>
      </w:r>
      <w:r w:rsidR="00D262BE" w:rsidRPr="00C57D4B">
        <w:t xml:space="preserve"> </w:t>
      </w:r>
    </w:p>
    <w:p w14:paraId="27863015" w14:textId="78923AB8" w:rsidR="002975D6" w:rsidRPr="00C57D4B" w:rsidRDefault="002975D6" w:rsidP="00C57D4B">
      <w:pPr>
        <w:pStyle w:val="NormalWeb"/>
        <w:shd w:val="clear" w:color="auto" w:fill="FFFFFF"/>
        <w:spacing w:before="0" w:beforeAutospacing="0" w:after="0" w:afterAutospacing="0" w:line="293" w:lineRule="atLeast"/>
        <w:jc w:val="both"/>
        <w:rPr>
          <w:rFonts w:ascii="Verdana" w:eastAsia="Times New Roman" w:hAnsi="Verdana"/>
          <w:color w:val="262626" w:themeColor="text1" w:themeTint="D9"/>
          <w:sz w:val="20"/>
          <w:szCs w:val="20"/>
          <w:lang w:val="en-GB" w:eastAsia="en-US"/>
        </w:rPr>
      </w:pPr>
      <w:r w:rsidRPr="00C57D4B">
        <w:rPr>
          <w:rFonts w:ascii="Verdana" w:eastAsia="Times New Roman" w:hAnsi="Verdana"/>
          <w:color w:val="262626" w:themeColor="text1" w:themeTint="D9"/>
          <w:sz w:val="20"/>
          <w:szCs w:val="20"/>
          <w:lang w:val="en-GB" w:eastAsia="en-US"/>
        </w:rPr>
        <w:t xml:space="preserve">Commission Regulation (EU) 2015/1095 sets minimum energy efficiency and information </w:t>
      </w:r>
      <w:r w:rsidR="00D60C7B" w:rsidRPr="00C57D4B">
        <w:rPr>
          <w:rFonts w:ascii="Verdana" w:eastAsia="Times New Roman" w:hAnsi="Verdana"/>
          <w:color w:val="262626" w:themeColor="text1" w:themeTint="D9"/>
          <w:sz w:val="20"/>
          <w:szCs w:val="20"/>
          <w:lang w:val="en-GB" w:eastAsia="en-US"/>
        </w:rPr>
        <w:t xml:space="preserve">ecodesign </w:t>
      </w:r>
      <w:r w:rsidRPr="00C57D4B">
        <w:rPr>
          <w:rFonts w:ascii="Verdana" w:eastAsia="Times New Roman" w:hAnsi="Verdana"/>
          <w:color w:val="262626" w:themeColor="text1" w:themeTint="D9"/>
          <w:sz w:val="20"/>
          <w:szCs w:val="20"/>
          <w:lang w:val="en-GB" w:eastAsia="en-US"/>
        </w:rPr>
        <w:t>requirements for the placing of the market of the professional refrigeration products. These products are:</w:t>
      </w:r>
    </w:p>
    <w:p w14:paraId="06E22F62" w14:textId="77777777" w:rsidR="002975D6" w:rsidRPr="00C57D4B" w:rsidRDefault="002975D6" w:rsidP="00C57D4B">
      <w:pPr>
        <w:pStyle w:val="NormalWeb"/>
        <w:shd w:val="clear" w:color="auto" w:fill="FFFFFF"/>
        <w:spacing w:before="0" w:beforeAutospacing="0" w:after="0" w:afterAutospacing="0" w:line="293" w:lineRule="atLeast"/>
        <w:jc w:val="both"/>
        <w:rPr>
          <w:rFonts w:ascii="Verdana" w:eastAsia="Times New Roman" w:hAnsi="Verdana"/>
          <w:color w:val="262626" w:themeColor="text1" w:themeTint="D9"/>
          <w:sz w:val="20"/>
          <w:szCs w:val="20"/>
          <w:lang w:val="en-GB" w:eastAsia="en-US"/>
        </w:rPr>
      </w:pPr>
    </w:p>
    <w:p w14:paraId="61EF5A09" w14:textId="5557B230" w:rsidR="002975D6" w:rsidRPr="00C57D4B" w:rsidRDefault="002975D6" w:rsidP="00C57D4B">
      <w:pPr>
        <w:numPr>
          <w:ilvl w:val="0"/>
          <w:numId w:val="49"/>
        </w:numPr>
        <w:shd w:val="clear" w:color="auto" w:fill="FFFFFF"/>
        <w:spacing w:after="0" w:line="293" w:lineRule="atLeast"/>
        <w:rPr>
          <w:rFonts w:ascii="Verdana" w:hAnsi="Verdana"/>
          <w:color w:val="262626" w:themeColor="text1" w:themeTint="D9"/>
          <w:sz w:val="20"/>
        </w:rPr>
      </w:pPr>
      <w:r w:rsidRPr="00C57D4B">
        <w:rPr>
          <w:rFonts w:ascii="Verdana" w:hAnsi="Verdana"/>
          <w:color w:val="262626" w:themeColor="text1" w:themeTint="D9"/>
          <w:sz w:val="20"/>
        </w:rPr>
        <w:t>refrigerated storage cabinets, including full ecodesign and energy labelling requirements for vertical (fig</w:t>
      </w:r>
      <w:r w:rsidR="00E450CF">
        <w:rPr>
          <w:rFonts w:ascii="Verdana" w:hAnsi="Verdana"/>
          <w:color w:val="262626" w:themeColor="text1" w:themeTint="D9"/>
          <w:sz w:val="20"/>
        </w:rPr>
        <w:t>ure</w:t>
      </w:r>
      <w:r w:rsidRPr="00C57D4B">
        <w:rPr>
          <w:rFonts w:ascii="Verdana" w:hAnsi="Verdana"/>
          <w:color w:val="262626" w:themeColor="text1" w:themeTint="D9"/>
          <w:sz w:val="20"/>
        </w:rPr>
        <w:t xml:space="preserve"> 1) and undercounter cabinets (fig</w:t>
      </w:r>
      <w:r w:rsidR="00E450CF">
        <w:rPr>
          <w:rFonts w:ascii="Verdana" w:hAnsi="Verdana"/>
          <w:color w:val="262626" w:themeColor="text1" w:themeTint="D9"/>
          <w:sz w:val="20"/>
        </w:rPr>
        <w:t>ure</w:t>
      </w:r>
      <w:r w:rsidRPr="00C57D4B">
        <w:rPr>
          <w:rFonts w:ascii="Verdana" w:hAnsi="Verdana"/>
          <w:color w:val="262626" w:themeColor="text1" w:themeTint="D9"/>
          <w:sz w:val="20"/>
        </w:rPr>
        <w:t xml:space="preserve"> 3) as well as information requirements for blast cabinets;</w:t>
      </w:r>
    </w:p>
    <w:p w14:paraId="365E0541" w14:textId="205BB6BD" w:rsidR="002975D6" w:rsidRPr="00C57D4B" w:rsidRDefault="00113E5D" w:rsidP="00C57D4B">
      <w:pPr>
        <w:numPr>
          <w:ilvl w:val="0"/>
          <w:numId w:val="49"/>
        </w:numPr>
        <w:shd w:val="clear" w:color="auto" w:fill="FFFFFF"/>
        <w:spacing w:after="0" w:line="293" w:lineRule="atLeast"/>
        <w:rPr>
          <w:rFonts w:ascii="Verdana" w:hAnsi="Verdana"/>
          <w:color w:val="262626" w:themeColor="text1" w:themeTint="D9"/>
          <w:sz w:val="20"/>
        </w:rPr>
      </w:pPr>
      <w:r w:rsidRPr="00C57D4B">
        <w:rPr>
          <w:rFonts w:ascii="Verdana" w:hAnsi="Verdana"/>
          <w:color w:val="262626" w:themeColor="text1" w:themeTint="D9"/>
          <w:sz w:val="20"/>
        </w:rPr>
        <w:t xml:space="preserve">medium </w:t>
      </w:r>
      <w:r>
        <w:rPr>
          <w:rFonts w:ascii="Verdana" w:hAnsi="Verdana"/>
          <w:color w:val="262626" w:themeColor="text1" w:themeTint="D9"/>
          <w:sz w:val="20"/>
        </w:rPr>
        <w:t xml:space="preserve">temperature </w:t>
      </w:r>
      <w:r w:rsidRPr="00C57D4B">
        <w:rPr>
          <w:rFonts w:ascii="Verdana" w:hAnsi="Verdana"/>
          <w:color w:val="262626" w:themeColor="text1" w:themeTint="D9"/>
          <w:sz w:val="20"/>
        </w:rPr>
        <w:t xml:space="preserve">and low temperature (MT &amp; LT) </w:t>
      </w:r>
      <w:r w:rsidR="002975D6" w:rsidRPr="00C57D4B">
        <w:rPr>
          <w:rFonts w:ascii="Verdana" w:hAnsi="Verdana"/>
          <w:color w:val="262626" w:themeColor="text1" w:themeTint="D9"/>
          <w:sz w:val="20"/>
        </w:rPr>
        <w:t>remote condensing units (fig</w:t>
      </w:r>
      <w:r w:rsidR="00E450CF">
        <w:rPr>
          <w:rFonts w:ascii="Verdana" w:hAnsi="Verdana"/>
          <w:color w:val="262626" w:themeColor="text1" w:themeTint="D9"/>
          <w:sz w:val="20"/>
        </w:rPr>
        <w:t>ure</w:t>
      </w:r>
      <w:r w:rsidR="002975D6" w:rsidRPr="00C57D4B">
        <w:rPr>
          <w:rFonts w:ascii="Verdana" w:hAnsi="Verdana"/>
          <w:color w:val="262626" w:themeColor="text1" w:themeTint="D9"/>
          <w:sz w:val="20"/>
        </w:rPr>
        <w:t xml:space="preserve"> 5);</w:t>
      </w:r>
    </w:p>
    <w:p w14:paraId="4FFC5D5D" w14:textId="797E43FA" w:rsidR="002975D6" w:rsidRPr="00C57D4B" w:rsidRDefault="002975D6" w:rsidP="00C57D4B">
      <w:pPr>
        <w:numPr>
          <w:ilvl w:val="0"/>
          <w:numId w:val="49"/>
        </w:numPr>
        <w:shd w:val="clear" w:color="auto" w:fill="FFFFFF"/>
        <w:spacing w:after="0" w:line="293" w:lineRule="atLeast"/>
        <w:rPr>
          <w:rFonts w:ascii="Verdana" w:hAnsi="Verdana"/>
          <w:color w:val="262626" w:themeColor="text1" w:themeTint="D9"/>
          <w:sz w:val="20"/>
        </w:rPr>
      </w:pPr>
      <w:proofErr w:type="gramStart"/>
      <w:r w:rsidRPr="00C57D4B">
        <w:rPr>
          <w:rFonts w:ascii="Verdana" w:hAnsi="Verdana"/>
          <w:color w:val="262626" w:themeColor="text1" w:themeTint="D9"/>
          <w:sz w:val="20"/>
        </w:rPr>
        <w:t>medium</w:t>
      </w:r>
      <w:proofErr w:type="gramEnd"/>
      <w:r w:rsidRPr="00C57D4B">
        <w:rPr>
          <w:rFonts w:ascii="Verdana" w:hAnsi="Verdana"/>
          <w:color w:val="262626" w:themeColor="text1" w:themeTint="D9"/>
          <w:sz w:val="20"/>
        </w:rPr>
        <w:t xml:space="preserve"> </w:t>
      </w:r>
      <w:r w:rsidR="00113E5D">
        <w:rPr>
          <w:rFonts w:ascii="Verdana" w:hAnsi="Verdana"/>
          <w:color w:val="262626" w:themeColor="text1" w:themeTint="D9"/>
          <w:sz w:val="20"/>
        </w:rPr>
        <w:t xml:space="preserve">temperature </w:t>
      </w:r>
      <w:r w:rsidRPr="00C57D4B">
        <w:rPr>
          <w:rFonts w:ascii="Verdana" w:hAnsi="Verdana"/>
          <w:color w:val="262626" w:themeColor="text1" w:themeTint="D9"/>
          <w:sz w:val="20"/>
        </w:rPr>
        <w:t>and low temperature (MT &amp; LT) process chillers (fig</w:t>
      </w:r>
      <w:r w:rsidR="00E450CF">
        <w:rPr>
          <w:rFonts w:ascii="Verdana" w:hAnsi="Verdana"/>
          <w:color w:val="262626" w:themeColor="text1" w:themeTint="D9"/>
          <w:sz w:val="20"/>
        </w:rPr>
        <w:t>ure</w:t>
      </w:r>
      <w:r w:rsidRPr="00C57D4B">
        <w:rPr>
          <w:rFonts w:ascii="Verdana" w:hAnsi="Verdana"/>
          <w:color w:val="262626" w:themeColor="text1" w:themeTint="D9"/>
          <w:sz w:val="20"/>
        </w:rPr>
        <w:t xml:space="preserve"> 6).</w:t>
      </w:r>
    </w:p>
    <w:p w14:paraId="4F3DBC72" w14:textId="77777777" w:rsidR="002975D6" w:rsidRPr="00C57D4B" w:rsidRDefault="002975D6" w:rsidP="00C57D4B">
      <w:pPr>
        <w:shd w:val="clear" w:color="auto" w:fill="FFFFFF"/>
        <w:spacing w:after="0" w:line="293" w:lineRule="atLeast"/>
        <w:rPr>
          <w:rFonts w:ascii="Verdana" w:hAnsi="Verdana"/>
          <w:color w:val="262626" w:themeColor="text1" w:themeTint="D9"/>
          <w:sz w:val="20"/>
        </w:rPr>
      </w:pPr>
    </w:p>
    <w:p w14:paraId="398154E4" w14:textId="55941166" w:rsidR="002975D6" w:rsidRPr="00C57D4B" w:rsidRDefault="002975D6" w:rsidP="00C57D4B">
      <w:pPr>
        <w:shd w:val="clear" w:color="auto" w:fill="FFFFFF"/>
        <w:spacing w:after="0" w:line="293" w:lineRule="atLeast"/>
        <w:rPr>
          <w:rFonts w:ascii="Verdana" w:hAnsi="Verdana"/>
          <w:color w:val="262626" w:themeColor="text1" w:themeTint="D9"/>
          <w:sz w:val="20"/>
        </w:rPr>
      </w:pPr>
      <w:r w:rsidRPr="00C57D4B">
        <w:rPr>
          <w:rFonts w:ascii="Verdana" w:hAnsi="Verdana"/>
          <w:color w:val="262626" w:themeColor="text1" w:themeTint="D9"/>
          <w:sz w:val="20"/>
        </w:rPr>
        <w:t xml:space="preserve">Commission Delegated Regulation (EU) 2015/1094 (energy labelling) also sets energy labelling requirements for the placing of the market of </w:t>
      </w:r>
      <w:r w:rsidR="00113E5D">
        <w:rPr>
          <w:rFonts w:ascii="Verdana" w:hAnsi="Verdana"/>
          <w:color w:val="262626" w:themeColor="text1" w:themeTint="D9"/>
          <w:sz w:val="20"/>
        </w:rPr>
        <w:t xml:space="preserve">professional </w:t>
      </w:r>
      <w:r w:rsidRPr="00C57D4B">
        <w:rPr>
          <w:rFonts w:ascii="Verdana" w:hAnsi="Verdana"/>
          <w:color w:val="262626" w:themeColor="text1" w:themeTint="D9"/>
          <w:sz w:val="20"/>
        </w:rPr>
        <w:t xml:space="preserve">refrigerated storage cabinets. </w:t>
      </w:r>
    </w:p>
    <w:p w14:paraId="0A7F1601" w14:textId="50572526" w:rsidR="002975D6" w:rsidRPr="00C57D4B" w:rsidRDefault="002975D6" w:rsidP="00C57D4B">
      <w:pPr>
        <w:shd w:val="clear" w:color="auto" w:fill="FFFFFF"/>
        <w:spacing w:after="0" w:line="293" w:lineRule="atLeast"/>
        <w:rPr>
          <w:rFonts w:ascii="Verdana" w:hAnsi="Verdana"/>
          <w:color w:val="262626" w:themeColor="text1" w:themeTint="D9"/>
          <w:sz w:val="20"/>
        </w:rPr>
      </w:pPr>
    </w:p>
    <w:p w14:paraId="220DDDDB" w14:textId="101028E2" w:rsidR="003552C1" w:rsidRPr="00C57D4B" w:rsidRDefault="00113E5D" w:rsidP="00C57D4B">
      <w:pPr>
        <w:pStyle w:val="NormalWeb"/>
        <w:shd w:val="clear" w:color="auto" w:fill="FFFFFF"/>
        <w:spacing w:before="0" w:beforeAutospacing="0" w:after="0" w:afterAutospacing="0" w:line="293" w:lineRule="atLeast"/>
        <w:jc w:val="both"/>
        <w:rPr>
          <w:rFonts w:ascii="Verdana" w:eastAsia="Times New Roman" w:hAnsi="Verdana"/>
          <w:color w:val="262626" w:themeColor="text1" w:themeTint="D9"/>
          <w:sz w:val="20"/>
          <w:szCs w:val="20"/>
          <w:lang w:val="en-GB" w:eastAsia="en-US"/>
        </w:rPr>
      </w:pPr>
      <w:r>
        <w:rPr>
          <w:rFonts w:ascii="Verdana" w:eastAsia="Times New Roman" w:hAnsi="Verdana"/>
          <w:color w:val="262626" w:themeColor="text1" w:themeTint="D9"/>
          <w:sz w:val="20"/>
          <w:szCs w:val="20"/>
          <w:lang w:val="en-GB" w:eastAsia="en-US"/>
        </w:rPr>
        <w:t>P</w:t>
      </w:r>
      <w:r w:rsidR="003552C1" w:rsidRPr="00C57D4B">
        <w:rPr>
          <w:rFonts w:ascii="Verdana" w:eastAsia="Times New Roman" w:hAnsi="Verdana"/>
          <w:color w:val="262626" w:themeColor="text1" w:themeTint="D9"/>
          <w:sz w:val="20"/>
          <w:szCs w:val="20"/>
          <w:lang w:val="en-GB" w:eastAsia="en-US"/>
        </w:rPr>
        <w:t xml:space="preserve">rofessional </w:t>
      </w:r>
      <w:r>
        <w:rPr>
          <w:rFonts w:ascii="Verdana" w:eastAsia="Times New Roman" w:hAnsi="Verdana"/>
          <w:color w:val="262626" w:themeColor="text1" w:themeTint="D9"/>
          <w:sz w:val="20"/>
          <w:szCs w:val="20"/>
          <w:lang w:val="en-GB" w:eastAsia="en-US"/>
        </w:rPr>
        <w:t>r</w:t>
      </w:r>
      <w:r w:rsidRPr="00C57D4B">
        <w:rPr>
          <w:rFonts w:ascii="Verdana" w:eastAsia="Times New Roman" w:hAnsi="Verdana"/>
          <w:color w:val="262626" w:themeColor="text1" w:themeTint="D9"/>
          <w:sz w:val="20"/>
          <w:szCs w:val="20"/>
          <w:lang w:val="en-GB" w:eastAsia="en-US"/>
        </w:rPr>
        <w:t xml:space="preserve">efrigerated </w:t>
      </w:r>
      <w:r w:rsidR="003552C1" w:rsidRPr="00C57D4B">
        <w:rPr>
          <w:rFonts w:ascii="Verdana" w:eastAsia="Times New Roman" w:hAnsi="Verdana"/>
          <w:color w:val="262626" w:themeColor="text1" w:themeTint="D9"/>
          <w:sz w:val="20"/>
          <w:szCs w:val="20"/>
          <w:lang w:val="en-GB" w:eastAsia="en-US"/>
        </w:rPr>
        <w:t xml:space="preserve">storage cabinets excluded from the scope are </w:t>
      </w:r>
      <w:r w:rsidRPr="00C57D4B">
        <w:rPr>
          <w:rFonts w:ascii="Verdana" w:eastAsia="Times New Roman" w:hAnsi="Verdana"/>
          <w:color w:val="262626" w:themeColor="text1" w:themeTint="D9"/>
          <w:sz w:val="20"/>
          <w:szCs w:val="20"/>
          <w:lang w:val="en-GB" w:eastAsia="en-US"/>
        </w:rPr>
        <w:t>—</w:t>
      </w:r>
      <w:r w:rsidR="003552C1" w:rsidRPr="00C57D4B">
        <w:rPr>
          <w:rFonts w:ascii="Verdana" w:eastAsia="Times New Roman" w:hAnsi="Verdana"/>
          <w:color w:val="262626" w:themeColor="text1" w:themeTint="D9"/>
          <w:sz w:val="20"/>
          <w:szCs w:val="20"/>
          <w:lang w:val="en-GB" w:eastAsia="en-US"/>
        </w:rPr>
        <w:t xml:space="preserve"> amongst others</w:t>
      </w:r>
      <w:r>
        <w:rPr>
          <w:rFonts w:ascii="Verdana" w:eastAsia="Times New Roman" w:hAnsi="Verdana"/>
          <w:color w:val="262626" w:themeColor="text1" w:themeTint="D9"/>
          <w:sz w:val="20"/>
          <w:szCs w:val="20"/>
          <w:lang w:val="en-GB" w:eastAsia="en-US"/>
        </w:rPr>
        <w:t xml:space="preserve"> </w:t>
      </w:r>
      <w:r w:rsidR="003552C1" w:rsidRPr="00C57D4B">
        <w:rPr>
          <w:rFonts w:ascii="Verdana" w:eastAsia="Times New Roman" w:hAnsi="Verdana"/>
          <w:color w:val="262626" w:themeColor="text1" w:themeTint="D9"/>
          <w:sz w:val="20"/>
          <w:szCs w:val="20"/>
          <w:lang w:val="en-GB" w:eastAsia="en-US"/>
        </w:rPr>
        <w:t>— roll in and roll-through cabinets (used with trolleys, fig</w:t>
      </w:r>
      <w:r w:rsidR="00E450CF">
        <w:rPr>
          <w:rFonts w:ascii="Verdana" w:eastAsia="Times New Roman" w:hAnsi="Verdana"/>
          <w:color w:val="262626" w:themeColor="text1" w:themeTint="D9"/>
          <w:sz w:val="20"/>
          <w:szCs w:val="20"/>
          <w:lang w:val="en-GB" w:eastAsia="en-US"/>
        </w:rPr>
        <w:t>ure</w:t>
      </w:r>
      <w:r w:rsidR="003552C1" w:rsidRPr="00C57D4B">
        <w:rPr>
          <w:rFonts w:ascii="Verdana" w:eastAsia="Times New Roman" w:hAnsi="Verdana"/>
          <w:color w:val="262626" w:themeColor="text1" w:themeTint="D9"/>
          <w:sz w:val="20"/>
          <w:szCs w:val="20"/>
          <w:lang w:val="en-GB" w:eastAsia="en-US"/>
        </w:rPr>
        <w:t xml:space="preserve"> 2), saladettes (fig</w:t>
      </w:r>
      <w:r w:rsidR="00E450CF">
        <w:rPr>
          <w:rFonts w:ascii="Verdana" w:eastAsia="Times New Roman" w:hAnsi="Verdana"/>
          <w:color w:val="262626" w:themeColor="text1" w:themeTint="D9"/>
          <w:sz w:val="20"/>
          <w:szCs w:val="20"/>
          <w:lang w:val="en-GB" w:eastAsia="en-US"/>
        </w:rPr>
        <w:t>ure</w:t>
      </w:r>
      <w:r w:rsidR="003552C1" w:rsidRPr="00C57D4B">
        <w:rPr>
          <w:rFonts w:ascii="Verdana" w:eastAsia="Times New Roman" w:hAnsi="Verdana"/>
          <w:color w:val="262626" w:themeColor="text1" w:themeTint="D9"/>
          <w:sz w:val="20"/>
          <w:szCs w:val="20"/>
          <w:lang w:val="en-GB" w:eastAsia="en-US"/>
        </w:rPr>
        <w:t xml:space="preserve"> 4), walk</w:t>
      </w:r>
      <w:r w:rsidR="00E450CF">
        <w:rPr>
          <w:rFonts w:ascii="Verdana" w:eastAsia="Times New Roman" w:hAnsi="Verdana"/>
          <w:color w:val="262626" w:themeColor="text1" w:themeTint="D9"/>
          <w:sz w:val="20"/>
          <w:szCs w:val="20"/>
          <w:lang w:val="en-GB" w:eastAsia="en-US"/>
        </w:rPr>
        <w:t>-</w:t>
      </w:r>
      <w:r w:rsidR="003552C1" w:rsidRPr="00C57D4B">
        <w:rPr>
          <w:rFonts w:ascii="Verdana" w:eastAsia="Times New Roman" w:hAnsi="Verdana"/>
          <w:color w:val="262626" w:themeColor="text1" w:themeTint="D9"/>
          <w:sz w:val="20"/>
          <w:szCs w:val="20"/>
          <w:lang w:val="en-GB" w:eastAsia="en-US"/>
        </w:rPr>
        <w:t xml:space="preserve">in cold rooms (WICR), etc. Blast cabinets (cabinets with quick chill/freeze capacity) </w:t>
      </w:r>
      <w:proofErr w:type="gramStart"/>
      <w:r w:rsidR="003552C1" w:rsidRPr="00C57D4B">
        <w:rPr>
          <w:rFonts w:ascii="Verdana" w:eastAsia="Times New Roman" w:hAnsi="Verdana"/>
          <w:color w:val="262626" w:themeColor="text1" w:themeTint="D9"/>
          <w:sz w:val="20"/>
          <w:szCs w:val="20"/>
          <w:lang w:val="en-GB" w:eastAsia="en-US"/>
        </w:rPr>
        <w:t>are excluded</w:t>
      </w:r>
      <w:proofErr w:type="gramEnd"/>
      <w:r w:rsidR="003552C1" w:rsidRPr="00C57D4B">
        <w:rPr>
          <w:rFonts w:ascii="Verdana" w:eastAsia="Times New Roman" w:hAnsi="Verdana"/>
          <w:color w:val="262626" w:themeColor="text1" w:themeTint="D9"/>
          <w:sz w:val="20"/>
          <w:szCs w:val="20"/>
          <w:lang w:val="en-GB" w:eastAsia="en-US"/>
        </w:rPr>
        <w:t xml:space="preserve"> from the scope of the energy labelling regulation, but some ecodesign</w:t>
      </w:r>
      <w:r w:rsidR="000042F0">
        <w:rPr>
          <w:rFonts w:ascii="Verdana" w:eastAsia="Times New Roman" w:hAnsi="Verdana"/>
          <w:color w:val="262626" w:themeColor="text1" w:themeTint="D9"/>
          <w:sz w:val="20"/>
          <w:szCs w:val="20"/>
          <w:lang w:val="en-GB" w:eastAsia="en-US"/>
        </w:rPr>
        <w:t xml:space="preserve"> information</w:t>
      </w:r>
      <w:r w:rsidR="003552C1" w:rsidRPr="00C57D4B">
        <w:rPr>
          <w:rFonts w:ascii="Verdana" w:eastAsia="Times New Roman" w:hAnsi="Verdana"/>
          <w:color w:val="262626" w:themeColor="text1" w:themeTint="D9"/>
          <w:sz w:val="20"/>
          <w:szCs w:val="20"/>
          <w:lang w:val="en-GB" w:eastAsia="en-US"/>
        </w:rPr>
        <w:t xml:space="preserve"> requirements apply.</w:t>
      </w:r>
    </w:p>
    <w:p w14:paraId="680CCE54" w14:textId="0904E929" w:rsidR="003552C1" w:rsidRPr="00C57D4B" w:rsidRDefault="003552C1" w:rsidP="00C57D4B">
      <w:pPr>
        <w:pStyle w:val="NormalWeb"/>
        <w:shd w:val="clear" w:color="auto" w:fill="FFFFFF"/>
        <w:spacing w:before="0" w:beforeAutospacing="0" w:after="0" w:afterAutospacing="0" w:line="293" w:lineRule="atLeast"/>
        <w:jc w:val="both"/>
        <w:rPr>
          <w:rFonts w:ascii="Verdana" w:eastAsia="Times New Roman" w:hAnsi="Verdana"/>
          <w:color w:val="262626" w:themeColor="text1" w:themeTint="D9"/>
          <w:sz w:val="20"/>
          <w:szCs w:val="20"/>
          <w:lang w:val="en-GB" w:eastAsia="en-US"/>
        </w:rPr>
      </w:pPr>
    </w:p>
    <w:p w14:paraId="7BE6B632" w14:textId="47BC8993" w:rsidR="00D60C7B" w:rsidRPr="00C57D4B" w:rsidRDefault="002975D6" w:rsidP="00C57D4B">
      <w:pPr>
        <w:shd w:val="clear" w:color="auto" w:fill="FFFFFF"/>
        <w:spacing w:after="0" w:line="293" w:lineRule="atLeast"/>
        <w:rPr>
          <w:rFonts w:ascii="Verdana" w:hAnsi="Verdana"/>
          <w:color w:val="262626" w:themeColor="text1" w:themeTint="D9"/>
          <w:sz w:val="20"/>
        </w:rPr>
      </w:pPr>
      <w:r w:rsidRPr="00C57D4B">
        <w:rPr>
          <w:rFonts w:ascii="Verdana" w:hAnsi="Verdana"/>
          <w:color w:val="262626" w:themeColor="text1" w:themeTint="D9"/>
          <w:sz w:val="20"/>
        </w:rPr>
        <w:t xml:space="preserve">Remote condensing units exist in </w:t>
      </w:r>
      <w:proofErr w:type="gramStart"/>
      <w:r w:rsidRPr="00C57D4B">
        <w:rPr>
          <w:rFonts w:ascii="Verdana" w:hAnsi="Verdana"/>
          <w:color w:val="262626" w:themeColor="text1" w:themeTint="D9"/>
          <w:sz w:val="20"/>
        </w:rPr>
        <w:t>small sizes</w:t>
      </w:r>
      <w:proofErr w:type="gramEnd"/>
      <w:r w:rsidRPr="00C57D4B">
        <w:rPr>
          <w:rFonts w:ascii="Verdana" w:hAnsi="Verdana"/>
          <w:color w:val="262626" w:themeColor="text1" w:themeTint="D9"/>
          <w:sz w:val="20"/>
        </w:rPr>
        <w:t xml:space="preserve"> for cooling/freezing of single cabinets (as </w:t>
      </w:r>
      <w:r w:rsidR="00DE6191">
        <w:rPr>
          <w:rFonts w:ascii="Verdana" w:hAnsi="Verdana"/>
          <w:color w:val="262626" w:themeColor="text1" w:themeTint="D9"/>
          <w:sz w:val="20"/>
        </w:rPr>
        <w:t>f</w:t>
      </w:r>
      <w:r w:rsidRPr="00C57D4B">
        <w:rPr>
          <w:rFonts w:ascii="Verdana" w:hAnsi="Verdana"/>
          <w:color w:val="262626" w:themeColor="text1" w:themeTint="D9"/>
          <w:sz w:val="20"/>
        </w:rPr>
        <w:t>ig</w:t>
      </w:r>
      <w:r w:rsidR="005602D1">
        <w:rPr>
          <w:rFonts w:ascii="Verdana" w:hAnsi="Verdana"/>
          <w:color w:val="262626" w:themeColor="text1" w:themeTint="D9"/>
          <w:sz w:val="20"/>
        </w:rPr>
        <w:t>ure</w:t>
      </w:r>
      <w:r w:rsidRPr="00C57D4B">
        <w:rPr>
          <w:rFonts w:ascii="Verdana" w:hAnsi="Verdana"/>
          <w:color w:val="262626" w:themeColor="text1" w:themeTint="D9"/>
          <w:sz w:val="20"/>
        </w:rPr>
        <w:t xml:space="preserve"> 5) </w:t>
      </w:r>
      <w:r w:rsidR="000B1FFC" w:rsidRPr="00C57D4B">
        <w:rPr>
          <w:rFonts w:ascii="Verdana" w:hAnsi="Verdana"/>
          <w:color w:val="262626" w:themeColor="text1" w:themeTint="D9"/>
          <w:sz w:val="20"/>
        </w:rPr>
        <w:t xml:space="preserve">in the hospitality and catering sector </w:t>
      </w:r>
      <w:r w:rsidR="003552C1" w:rsidRPr="00C57D4B">
        <w:rPr>
          <w:rFonts w:ascii="Verdana" w:hAnsi="Verdana"/>
          <w:color w:val="262626" w:themeColor="text1" w:themeTint="D9"/>
          <w:sz w:val="20"/>
        </w:rPr>
        <w:t xml:space="preserve">or in larger sizes for </w:t>
      </w:r>
      <w:r w:rsidR="00D60C7B" w:rsidRPr="00C57D4B">
        <w:rPr>
          <w:rFonts w:ascii="Verdana" w:hAnsi="Verdana"/>
          <w:color w:val="262626" w:themeColor="text1" w:themeTint="D9"/>
          <w:sz w:val="20"/>
        </w:rPr>
        <w:t>e.g. several</w:t>
      </w:r>
      <w:r w:rsidR="003552C1" w:rsidRPr="00C57D4B">
        <w:rPr>
          <w:rFonts w:ascii="Verdana" w:hAnsi="Verdana"/>
          <w:color w:val="262626" w:themeColor="text1" w:themeTint="D9"/>
          <w:sz w:val="20"/>
        </w:rPr>
        <w:t xml:space="preserve"> refrigeration </w:t>
      </w:r>
      <w:r w:rsidR="000B1FFC" w:rsidRPr="00C57D4B">
        <w:rPr>
          <w:rFonts w:ascii="Verdana" w:hAnsi="Verdana"/>
          <w:color w:val="262626" w:themeColor="text1" w:themeTint="D9"/>
          <w:sz w:val="20"/>
        </w:rPr>
        <w:t>‘direct sales’</w:t>
      </w:r>
      <w:r w:rsidR="009B70E5" w:rsidRPr="00C57D4B">
        <w:rPr>
          <w:rFonts w:ascii="Verdana" w:hAnsi="Verdana"/>
          <w:color w:val="262626" w:themeColor="text1" w:themeTint="D9"/>
          <w:sz w:val="20"/>
        </w:rPr>
        <w:t xml:space="preserve"> </w:t>
      </w:r>
      <w:r w:rsidR="003552C1" w:rsidRPr="00C57D4B">
        <w:rPr>
          <w:rFonts w:ascii="Verdana" w:hAnsi="Verdana"/>
          <w:color w:val="262626" w:themeColor="text1" w:themeTint="D9"/>
          <w:sz w:val="20"/>
        </w:rPr>
        <w:t>appliances in a supermarket.</w:t>
      </w:r>
      <w:r w:rsidR="000B1FFC" w:rsidRPr="00C57D4B">
        <w:rPr>
          <w:rFonts w:ascii="Verdana" w:hAnsi="Verdana"/>
          <w:color w:val="262626" w:themeColor="text1" w:themeTint="D9"/>
          <w:sz w:val="20"/>
        </w:rPr>
        <w:t xml:space="preserve"> </w:t>
      </w:r>
    </w:p>
    <w:p w14:paraId="413387EB" w14:textId="7BA4CA02" w:rsidR="003552C1" w:rsidRPr="00C57D4B" w:rsidRDefault="003552C1" w:rsidP="00C57D4B">
      <w:pPr>
        <w:shd w:val="clear" w:color="auto" w:fill="FFFFFF"/>
        <w:spacing w:after="0" w:line="293" w:lineRule="atLeast"/>
        <w:rPr>
          <w:rFonts w:ascii="Verdana" w:hAnsi="Verdana"/>
          <w:color w:val="262626" w:themeColor="text1" w:themeTint="D9"/>
          <w:sz w:val="20"/>
        </w:rPr>
      </w:pPr>
      <w:r w:rsidRPr="00C57D4B">
        <w:rPr>
          <w:rFonts w:ascii="Verdana" w:hAnsi="Verdana"/>
          <w:color w:val="262626" w:themeColor="text1" w:themeTint="D9"/>
          <w:sz w:val="20"/>
        </w:rPr>
        <w:t xml:space="preserve"> </w:t>
      </w:r>
    </w:p>
    <w:p w14:paraId="3A390230" w14:textId="03876787" w:rsidR="002975D6" w:rsidRPr="00C57D4B" w:rsidRDefault="003552C1" w:rsidP="00C57D4B">
      <w:pPr>
        <w:shd w:val="clear" w:color="auto" w:fill="FFFFFF"/>
        <w:spacing w:after="0" w:line="293" w:lineRule="atLeast"/>
        <w:rPr>
          <w:rFonts w:ascii="Verdana" w:hAnsi="Verdana"/>
          <w:color w:val="262626" w:themeColor="text1" w:themeTint="D9"/>
          <w:sz w:val="20"/>
        </w:rPr>
      </w:pPr>
      <w:r w:rsidRPr="00C57D4B">
        <w:rPr>
          <w:rFonts w:ascii="Verdana" w:hAnsi="Verdana"/>
          <w:color w:val="262626" w:themeColor="text1" w:themeTint="D9"/>
          <w:sz w:val="20"/>
        </w:rPr>
        <w:lastRenderedPageBreak/>
        <w:t>The industrial process chillers (</w:t>
      </w:r>
      <w:r w:rsidR="00DE6191">
        <w:rPr>
          <w:rFonts w:ascii="Verdana" w:hAnsi="Verdana"/>
          <w:color w:val="262626" w:themeColor="text1" w:themeTint="D9"/>
          <w:sz w:val="20"/>
        </w:rPr>
        <w:t>f</w:t>
      </w:r>
      <w:r w:rsidRPr="00C57D4B">
        <w:rPr>
          <w:rFonts w:ascii="Verdana" w:hAnsi="Verdana"/>
          <w:color w:val="262626" w:themeColor="text1" w:themeTint="D9"/>
          <w:sz w:val="20"/>
        </w:rPr>
        <w:t>ig</w:t>
      </w:r>
      <w:r w:rsidR="00E450CF">
        <w:rPr>
          <w:rFonts w:ascii="Verdana" w:hAnsi="Verdana"/>
          <w:color w:val="262626" w:themeColor="text1" w:themeTint="D9"/>
          <w:sz w:val="20"/>
        </w:rPr>
        <w:t>ure</w:t>
      </w:r>
      <w:r w:rsidRPr="00C57D4B">
        <w:rPr>
          <w:rFonts w:ascii="Verdana" w:hAnsi="Verdana"/>
          <w:color w:val="262626" w:themeColor="text1" w:themeTint="D9"/>
          <w:sz w:val="20"/>
        </w:rPr>
        <w:t xml:space="preserve"> 6) are used predominantly in the food industry and warehousing</w:t>
      </w:r>
      <w:r w:rsidR="000B1FFC" w:rsidRPr="00C57D4B">
        <w:rPr>
          <w:rFonts w:ascii="Verdana" w:hAnsi="Verdana"/>
          <w:color w:val="262626" w:themeColor="text1" w:themeTint="D9"/>
          <w:sz w:val="20"/>
        </w:rPr>
        <w:t>. They</w:t>
      </w:r>
      <w:r w:rsidRPr="00C57D4B">
        <w:rPr>
          <w:rFonts w:ascii="Verdana" w:hAnsi="Verdana"/>
          <w:color w:val="262626" w:themeColor="text1" w:themeTint="D9"/>
          <w:sz w:val="20"/>
        </w:rPr>
        <w:t xml:space="preserve"> exist for medium temperature cooling (MT, </w:t>
      </w:r>
      <w:r w:rsidR="00C85BD0" w:rsidRPr="00C57D4B">
        <w:rPr>
          <w:rFonts w:ascii="Verdana" w:hAnsi="Verdana"/>
          <w:color w:val="262626" w:themeColor="text1" w:themeTint="D9"/>
          <w:sz w:val="20"/>
        </w:rPr>
        <w:t>−</w:t>
      </w:r>
      <w:r w:rsidRPr="00C57D4B">
        <w:rPr>
          <w:rFonts w:ascii="Verdana" w:hAnsi="Verdana"/>
          <w:color w:val="262626" w:themeColor="text1" w:themeTint="D9"/>
          <w:sz w:val="20"/>
        </w:rPr>
        <w:t>8</w:t>
      </w:r>
      <w:r w:rsidR="00E450CF">
        <w:rPr>
          <w:rFonts w:ascii="Verdana" w:hAnsi="Verdana"/>
          <w:color w:val="262626" w:themeColor="text1" w:themeTint="D9"/>
          <w:sz w:val="20"/>
        </w:rPr>
        <w:t xml:space="preserve"> </w:t>
      </w:r>
      <w:r w:rsidR="00C85BD0" w:rsidRPr="00C57D4B">
        <w:rPr>
          <w:rFonts w:ascii="Verdana" w:hAnsi="Verdana"/>
          <w:color w:val="262626" w:themeColor="text1" w:themeTint="D9"/>
          <w:sz w:val="20"/>
        </w:rPr>
        <w:t>°</w:t>
      </w:r>
      <w:r w:rsidRPr="00C57D4B">
        <w:rPr>
          <w:rFonts w:ascii="Verdana" w:hAnsi="Verdana"/>
          <w:color w:val="262626" w:themeColor="text1" w:themeTint="D9"/>
          <w:sz w:val="20"/>
        </w:rPr>
        <w:t xml:space="preserve">C) or low temperature freezing (LT, </w:t>
      </w:r>
      <w:r w:rsidR="00C85BD0" w:rsidRPr="00C57D4B">
        <w:rPr>
          <w:rFonts w:ascii="Verdana" w:hAnsi="Verdana"/>
          <w:color w:val="262626" w:themeColor="text1" w:themeTint="D9"/>
          <w:sz w:val="20"/>
        </w:rPr>
        <w:t>−</w:t>
      </w:r>
      <w:r w:rsidRPr="00C57D4B">
        <w:rPr>
          <w:rFonts w:ascii="Verdana" w:hAnsi="Verdana"/>
          <w:color w:val="262626" w:themeColor="text1" w:themeTint="D9"/>
          <w:sz w:val="20"/>
        </w:rPr>
        <w:t>25</w:t>
      </w:r>
      <w:r w:rsidR="00E450CF">
        <w:rPr>
          <w:rFonts w:ascii="Verdana" w:hAnsi="Verdana"/>
          <w:color w:val="262626" w:themeColor="text1" w:themeTint="D9"/>
          <w:sz w:val="20"/>
        </w:rPr>
        <w:t xml:space="preserve"> </w:t>
      </w:r>
      <w:r w:rsidR="00C85BD0" w:rsidRPr="00C57D4B">
        <w:rPr>
          <w:rFonts w:ascii="Verdana" w:hAnsi="Verdana"/>
          <w:color w:val="262626" w:themeColor="text1" w:themeTint="D9"/>
          <w:sz w:val="20"/>
        </w:rPr>
        <w:t>°</w:t>
      </w:r>
      <w:r w:rsidRPr="00C57D4B">
        <w:rPr>
          <w:rFonts w:ascii="Verdana" w:hAnsi="Verdana"/>
          <w:color w:val="262626" w:themeColor="text1" w:themeTint="D9"/>
          <w:sz w:val="20"/>
        </w:rPr>
        <w:t xml:space="preserve">C). The chillers </w:t>
      </w:r>
      <w:proofErr w:type="gramStart"/>
      <w:r w:rsidRPr="00C57D4B">
        <w:rPr>
          <w:rFonts w:ascii="Verdana" w:hAnsi="Verdana"/>
          <w:color w:val="262626" w:themeColor="text1" w:themeTint="D9"/>
          <w:sz w:val="20"/>
        </w:rPr>
        <w:t>can either be water</w:t>
      </w:r>
      <w:r w:rsidR="00DE6191">
        <w:rPr>
          <w:rFonts w:ascii="Verdana" w:hAnsi="Verdana"/>
          <w:color w:val="262626" w:themeColor="text1" w:themeTint="D9"/>
          <w:sz w:val="20"/>
        </w:rPr>
        <w:t>-</w:t>
      </w:r>
      <w:r w:rsidRPr="00C57D4B">
        <w:rPr>
          <w:rFonts w:ascii="Verdana" w:hAnsi="Verdana"/>
          <w:color w:val="262626" w:themeColor="text1" w:themeTint="D9"/>
          <w:sz w:val="20"/>
        </w:rPr>
        <w:t>cooled or air-cooled</w:t>
      </w:r>
      <w:proofErr w:type="gramEnd"/>
      <w:r w:rsidRPr="00C57D4B">
        <w:rPr>
          <w:rFonts w:ascii="Verdana" w:hAnsi="Verdana"/>
          <w:color w:val="262626" w:themeColor="text1" w:themeTint="D9"/>
          <w:sz w:val="20"/>
        </w:rPr>
        <w:t>. High-temperature</w:t>
      </w:r>
      <w:r w:rsidR="00FC6F38" w:rsidRPr="00C57D4B">
        <w:rPr>
          <w:rFonts w:ascii="Verdana" w:hAnsi="Verdana"/>
          <w:color w:val="262626" w:themeColor="text1" w:themeTint="D9"/>
          <w:sz w:val="20"/>
        </w:rPr>
        <w:t xml:space="preserve"> (HT, +7</w:t>
      </w:r>
      <w:r w:rsidR="00E450CF">
        <w:rPr>
          <w:rFonts w:ascii="Verdana" w:hAnsi="Verdana"/>
          <w:color w:val="262626" w:themeColor="text1" w:themeTint="D9"/>
          <w:sz w:val="20"/>
        </w:rPr>
        <w:t xml:space="preserve"> </w:t>
      </w:r>
      <w:r w:rsidR="00C85BD0" w:rsidRPr="00C57D4B">
        <w:rPr>
          <w:rFonts w:ascii="Verdana" w:hAnsi="Verdana"/>
          <w:color w:val="262626" w:themeColor="text1" w:themeTint="D9"/>
          <w:sz w:val="20"/>
        </w:rPr>
        <w:t>°</w:t>
      </w:r>
      <w:r w:rsidR="00FC6F38" w:rsidRPr="00C57D4B">
        <w:rPr>
          <w:rFonts w:ascii="Verdana" w:hAnsi="Verdana"/>
          <w:color w:val="262626" w:themeColor="text1" w:themeTint="D9"/>
          <w:sz w:val="20"/>
        </w:rPr>
        <w:t>C)</w:t>
      </w:r>
      <w:r w:rsidRPr="00C57D4B">
        <w:rPr>
          <w:rFonts w:ascii="Verdana" w:hAnsi="Verdana"/>
          <w:color w:val="262626" w:themeColor="text1" w:themeTint="D9"/>
          <w:sz w:val="20"/>
        </w:rPr>
        <w:t xml:space="preserve"> chillers, e.g. used for air conditioning of data centres</w:t>
      </w:r>
      <w:r w:rsidR="00FC6F38" w:rsidRPr="00C57D4B">
        <w:rPr>
          <w:rFonts w:ascii="Verdana" w:hAnsi="Verdana"/>
          <w:color w:val="262626" w:themeColor="text1" w:themeTint="D9"/>
          <w:sz w:val="20"/>
        </w:rPr>
        <w:t xml:space="preserve">, </w:t>
      </w:r>
      <w:proofErr w:type="gramStart"/>
      <w:r w:rsidRPr="00C57D4B">
        <w:rPr>
          <w:rFonts w:ascii="Verdana" w:hAnsi="Verdana"/>
          <w:color w:val="262626" w:themeColor="text1" w:themeTint="D9"/>
          <w:sz w:val="20"/>
        </w:rPr>
        <w:t>are excluded from the scope here, but regulated elsewhere</w:t>
      </w:r>
      <w:proofErr w:type="gramEnd"/>
      <w:r w:rsidR="00FC6F38" w:rsidRPr="00C57D4B">
        <w:rPr>
          <w:rStyle w:val="FootnoteReference"/>
          <w:rFonts w:ascii="Verdana" w:hAnsi="Verdana"/>
          <w:color w:val="262626" w:themeColor="text1" w:themeTint="D9"/>
        </w:rPr>
        <w:footnoteReference w:id="14"/>
      </w:r>
      <w:r w:rsidRPr="00C57D4B">
        <w:rPr>
          <w:rFonts w:ascii="Verdana" w:hAnsi="Verdana"/>
          <w:color w:val="262626" w:themeColor="text1" w:themeTint="D9"/>
          <w:sz w:val="20"/>
        </w:rPr>
        <w:t xml:space="preserve">. </w:t>
      </w:r>
    </w:p>
    <w:p w14:paraId="32B508E5" w14:textId="77777777" w:rsidR="003552C1" w:rsidRPr="00C57D4B" w:rsidRDefault="003552C1" w:rsidP="00C57D4B">
      <w:pPr>
        <w:shd w:val="clear" w:color="auto" w:fill="FFFFFF"/>
        <w:spacing w:after="0" w:line="293" w:lineRule="atLeast"/>
        <w:jc w:val="left"/>
        <w:rPr>
          <w:rFonts w:ascii="Verdana" w:hAnsi="Verdana"/>
          <w:color w:val="262626" w:themeColor="text1" w:themeTint="D9"/>
          <w:sz w:val="20"/>
        </w:rPr>
      </w:pPr>
    </w:p>
    <w:p w14:paraId="1F968EF4" w14:textId="21335085" w:rsidR="002975D6" w:rsidRPr="00C57D4B" w:rsidRDefault="002975D6" w:rsidP="002975D6">
      <w:pPr>
        <w:pStyle w:val="NormalWeb"/>
        <w:shd w:val="clear" w:color="auto" w:fill="FFFFFF"/>
        <w:spacing w:before="0" w:beforeAutospacing="0" w:after="0" w:afterAutospacing="0" w:line="293" w:lineRule="atLeast"/>
        <w:rPr>
          <w:rFonts w:ascii="Verdana" w:eastAsia="Times New Roman" w:hAnsi="Verdana"/>
          <w:color w:val="262626" w:themeColor="text1" w:themeTint="D9"/>
          <w:sz w:val="20"/>
          <w:szCs w:val="20"/>
          <w:lang w:val="en-GB" w:eastAsia="en-US"/>
        </w:rPr>
      </w:pPr>
      <w:r w:rsidRPr="00C57D4B">
        <w:rPr>
          <w:rFonts w:ascii="Verdana" w:eastAsia="Times New Roman" w:hAnsi="Verdana"/>
          <w:noProof/>
          <w:color w:val="262626" w:themeColor="text1" w:themeTint="D9"/>
          <w:sz w:val="20"/>
          <w:szCs w:val="20"/>
        </w:rPr>
        <w:drawing>
          <wp:inline distT="0" distB="0" distL="0" distR="0" wp14:anchorId="46117A1B" wp14:editId="2EC04567">
            <wp:extent cx="5760085" cy="5257800"/>
            <wp:effectExtent l="0" t="0" r="0" b="0"/>
            <wp:docPr id="4" name="Picture 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engineering drawing&#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5257800"/>
                    </a:xfrm>
                    <a:prstGeom prst="rect">
                      <a:avLst/>
                    </a:prstGeom>
                    <a:noFill/>
                    <a:ln>
                      <a:noFill/>
                    </a:ln>
                  </pic:spPr>
                </pic:pic>
              </a:graphicData>
            </a:graphic>
          </wp:inline>
        </w:drawing>
      </w:r>
    </w:p>
    <w:p w14:paraId="7A8F613B" w14:textId="1B09B052" w:rsidR="00A14BD8" w:rsidRPr="00C57D4B" w:rsidRDefault="00A14BD8" w:rsidP="00CE3DEA">
      <w:pPr>
        <w:pStyle w:val="NormalWeb"/>
        <w:shd w:val="clear" w:color="auto" w:fill="FFFFFF"/>
        <w:spacing w:before="0" w:beforeAutospacing="0" w:after="0" w:afterAutospacing="0" w:line="293" w:lineRule="atLeast"/>
        <w:jc w:val="both"/>
        <w:rPr>
          <w:rFonts w:ascii="Verdana" w:eastAsia="Times New Roman" w:hAnsi="Verdana"/>
          <w:color w:val="262626" w:themeColor="text1" w:themeTint="D9"/>
          <w:sz w:val="20"/>
          <w:szCs w:val="20"/>
          <w:lang w:val="en-GB" w:eastAsia="en-US"/>
        </w:rPr>
      </w:pPr>
      <w:r w:rsidRPr="00C57D4B">
        <w:rPr>
          <w:rFonts w:ascii="Verdana" w:eastAsia="Times New Roman" w:hAnsi="Verdana"/>
          <w:color w:val="262626" w:themeColor="text1" w:themeTint="D9"/>
          <w:sz w:val="20"/>
          <w:szCs w:val="20"/>
          <w:lang w:val="en-GB" w:eastAsia="en-US"/>
        </w:rPr>
        <w:t xml:space="preserve">Blast cabinets (not shown) are insulated refrigerating appliances primarily intended </w:t>
      </w:r>
      <w:proofErr w:type="gramStart"/>
      <w:r w:rsidRPr="00C57D4B">
        <w:rPr>
          <w:rFonts w:ascii="Verdana" w:eastAsia="Times New Roman" w:hAnsi="Verdana"/>
          <w:color w:val="262626" w:themeColor="text1" w:themeTint="D9"/>
          <w:sz w:val="20"/>
          <w:szCs w:val="20"/>
          <w:lang w:val="en-GB" w:eastAsia="en-US"/>
        </w:rPr>
        <w:t>to rapidly cool</w:t>
      </w:r>
      <w:proofErr w:type="gramEnd"/>
      <w:r w:rsidRPr="00C57D4B">
        <w:rPr>
          <w:rFonts w:ascii="Verdana" w:eastAsia="Times New Roman" w:hAnsi="Verdana"/>
          <w:color w:val="262626" w:themeColor="text1" w:themeTint="D9"/>
          <w:sz w:val="20"/>
          <w:szCs w:val="20"/>
          <w:lang w:val="en-GB" w:eastAsia="en-US"/>
        </w:rPr>
        <w:t xml:space="preserve"> hot foodstuffs to below 10 °C in the case of chilling and below – 18 °C in the case of freezing</w:t>
      </w:r>
      <w:r w:rsidR="006C7ACE" w:rsidRPr="00C57D4B">
        <w:rPr>
          <w:rFonts w:ascii="Verdana" w:eastAsia="Times New Roman" w:hAnsi="Verdana"/>
          <w:color w:val="262626" w:themeColor="text1" w:themeTint="D9"/>
          <w:sz w:val="20"/>
          <w:szCs w:val="20"/>
          <w:lang w:val="en-GB" w:eastAsia="en-US"/>
        </w:rPr>
        <w:t>, in order to conserve said foodstuffs</w:t>
      </w:r>
      <w:r w:rsidRPr="00C57D4B">
        <w:rPr>
          <w:rFonts w:ascii="Verdana" w:eastAsia="Times New Roman" w:hAnsi="Verdana"/>
          <w:color w:val="262626" w:themeColor="text1" w:themeTint="D9"/>
          <w:sz w:val="20"/>
          <w:szCs w:val="20"/>
          <w:lang w:val="en-GB" w:eastAsia="en-US"/>
        </w:rPr>
        <w:t xml:space="preserve">. </w:t>
      </w:r>
    </w:p>
    <w:p w14:paraId="75021ABD" w14:textId="69D26A61" w:rsidR="006C7ACE" w:rsidRPr="00C57D4B" w:rsidRDefault="006C7ACE" w:rsidP="00CE3DEA">
      <w:pPr>
        <w:pStyle w:val="NormalWeb"/>
        <w:shd w:val="clear" w:color="auto" w:fill="FFFFFF"/>
        <w:spacing w:before="0" w:beforeAutospacing="0" w:after="0" w:afterAutospacing="0" w:line="293" w:lineRule="atLeast"/>
        <w:jc w:val="both"/>
        <w:rPr>
          <w:rFonts w:ascii="Verdana" w:eastAsia="Times New Roman" w:hAnsi="Verdana"/>
          <w:color w:val="262626" w:themeColor="text1" w:themeTint="D9"/>
          <w:sz w:val="20"/>
          <w:szCs w:val="20"/>
          <w:lang w:val="en-GB" w:eastAsia="en-US"/>
        </w:rPr>
      </w:pPr>
    </w:p>
    <w:p w14:paraId="15814BB0" w14:textId="6C05D4AC" w:rsidR="008A15DD" w:rsidRPr="00C57D4B" w:rsidRDefault="006C7ACE" w:rsidP="00CE3DEA">
      <w:pPr>
        <w:pStyle w:val="NormalWeb"/>
        <w:shd w:val="clear" w:color="auto" w:fill="FFFFFF"/>
        <w:spacing w:before="0" w:beforeAutospacing="0" w:after="0" w:afterAutospacing="0" w:line="293" w:lineRule="atLeast"/>
        <w:jc w:val="both"/>
        <w:rPr>
          <w:rFonts w:ascii="Verdana" w:eastAsia="Times New Roman" w:hAnsi="Verdana"/>
          <w:color w:val="262626" w:themeColor="text1" w:themeTint="D9"/>
          <w:sz w:val="20"/>
          <w:szCs w:val="20"/>
          <w:lang w:val="en-GB" w:eastAsia="en-US"/>
        </w:rPr>
      </w:pPr>
      <w:r w:rsidRPr="00C57D4B">
        <w:rPr>
          <w:rFonts w:ascii="Verdana" w:eastAsia="Times New Roman" w:hAnsi="Verdana"/>
          <w:color w:val="262626" w:themeColor="text1" w:themeTint="D9"/>
          <w:sz w:val="20"/>
          <w:szCs w:val="20"/>
          <w:lang w:val="en-GB" w:eastAsia="en-US"/>
        </w:rPr>
        <w:t xml:space="preserve">The professional refrigerating appliances are not the only refrigeration appliances </w:t>
      </w:r>
      <w:proofErr w:type="gramStart"/>
      <w:r w:rsidRPr="00C57D4B">
        <w:rPr>
          <w:rFonts w:ascii="Verdana" w:eastAsia="Times New Roman" w:hAnsi="Verdana"/>
          <w:color w:val="262626" w:themeColor="text1" w:themeTint="D9"/>
          <w:sz w:val="20"/>
          <w:szCs w:val="20"/>
          <w:lang w:val="en-GB" w:eastAsia="en-US"/>
        </w:rPr>
        <w:t>being regulated</w:t>
      </w:r>
      <w:proofErr w:type="gramEnd"/>
      <w:r w:rsidRPr="00C57D4B">
        <w:rPr>
          <w:rFonts w:ascii="Verdana" w:eastAsia="Times New Roman" w:hAnsi="Verdana"/>
          <w:color w:val="262626" w:themeColor="text1" w:themeTint="D9"/>
          <w:sz w:val="20"/>
          <w:szCs w:val="20"/>
          <w:lang w:val="en-GB" w:eastAsia="en-US"/>
        </w:rPr>
        <w:t xml:space="preserve"> through Ecodesign Directive 2009/125/EC and Energy Labelling Regulation (EU) 2017/1369. </w:t>
      </w:r>
      <w:r w:rsidR="00DE6191">
        <w:rPr>
          <w:rFonts w:ascii="Verdana" w:eastAsia="Times New Roman" w:hAnsi="Verdana"/>
          <w:color w:val="262626" w:themeColor="text1" w:themeTint="D9"/>
          <w:sz w:val="20"/>
          <w:szCs w:val="20"/>
          <w:lang w:val="en-GB" w:eastAsia="en-US"/>
        </w:rPr>
        <w:t>F</w:t>
      </w:r>
      <w:r w:rsidR="008A15DD" w:rsidRPr="00C57D4B">
        <w:rPr>
          <w:rFonts w:ascii="Verdana" w:eastAsia="Times New Roman" w:hAnsi="Verdana"/>
          <w:color w:val="262626" w:themeColor="text1" w:themeTint="D9"/>
          <w:sz w:val="20"/>
          <w:szCs w:val="20"/>
          <w:lang w:val="en-GB" w:eastAsia="en-US"/>
        </w:rPr>
        <w:t xml:space="preserve">igure </w:t>
      </w:r>
      <w:r w:rsidR="000A39CD">
        <w:rPr>
          <w:rFonts w:ascii="Verdana" w:eastAsia="Times New Roman" w:hAnsi="Verdana"/>
          <w:color w:val="262626" w:themeColor="text1" w:themeTint="D9"/>
          <w:sz w:val="20"/>
          <w:szCs w:val="20"/>
          <w:lang w:val="en-GB" w:eastAsia="en-US"/>
        </w:rPr>
        <w:t>7</w:t>
      </w:r>
      <w:r w:rsidR="008A15DD" w:rsidRPr="00C57D4B">
        <w:rPr>
          <w:rFonts w:ascii="Verdana" w:eastAsia="Times New Roman" w:hAnsi="Verdana"/>
          <w:color w:val="262626" w:themeColor="text1" w:themeTint="D9"/>
          <w:sz w:val="20"/>
          <w:szCs w:val="20"/>
          <w:lang w:val="en-GB" w:eastAsia="en-US"/>
        </w:rPr>
        <w:t xml:space="preserve"> gives an overview of the various ecodesign and labelling regulations in refrigerated appliances. </w:t>
      </w:r>
    </w:p>
    <w:p w14:paraId="08636627" w14:textId="7CAB1154" w:rsidR="008A15DD" w:rsidRPr="00C57D4B" w:rsidRDefault="008A15DD" w:rsidP="002975D6">
      <w:pPr>
        <w:pStyle w:val="NormalWeb"/>
        <w:shd w:val="clear" w:color="auto" w:fill="FFFFFF"/>
        <w:spacing w:before="0" w:beforeAutospacing="0" w:after="0" w:afterAutospacing="0" w:line="293" w:lineRule="atLeast"/>
        <w:rPr>
          <w:rFonts w:ascii="Verdana" w:eastAsia="Times New Roman" w:hAnsi="Verdana"/>
          <w:color w:val="262626" w:themeColor="text1" w:themeTint="D9"/>
          <w:sz w:val="20"/>
          <w:szCs w:val="20"/>
          <w:lang w:val="en-GB" w:eastAsia="en-US"/>
        </w:rPr>
      </w:pPr>
    </w:p>
    <w:p w14:paraId="29A49619" w14:textId="77777777" w:rsidR="00C85BD0" w:rsidRPr="00C57D4B" w:rsidRDefault="00C85BD0" w:rsidP="00C85BD0">
      <w:pPr>
        <w:pStyle w:val="NormalWeb"/>
        <w:shd w:val="clear" w:color="auto" w:fill="FFFFFF"/>
        <w:spacing w:before="0" w:beforeAutospacing="0" w:after="0" w:afterAutospacing="0" w:line="293" w:lineRule="atLeast"/>
        <w:rPr>
          <w:rFonts w:ascii="Segoe UI" w:hAnsi="Segoe UI" w:cs="Segoe UI"/>
          <w:color w:val="262626" w:themeColor="text1" w:themeTint="D9"/>
          <w:sz w:val="23"/>
          <w:szCs w:val="23"/>
          <w:lang w:val="en-GB"/>
        </w:rPr>
      </w:pPr>
      <w:r w:rsidRPr="00C57D4B">
        <w:rPr>
          <w:rFonts w:ascii="Verdana" w:eastAsia="Times New Roman" w:hAnsi="Verdana"/>
          <w:color w:val="262626" w:themeColor="text1" w:themeTint="D9"/>
          <w:sz w:val="20"/>
          <w:szCs w:val="20"/>
          <w:lang w:val="en-GB" w:eastAsia="en-US"/>
        </w:rPr>
        <w:lastRenderedPageBreak/>
        <w:t xml:space="preserve">The review clauses of the Regulations stipulate that the Commission shall review the two Regulations in the light of technological progress no later than five years after their entry into force. The review study </w:t>
      </w:r>
      <w:proofErr w:type="gramStart"/>
      <w:r w:rsidRPr="00C57D4B">
        <w:rPr>
          <w:rFonts w:ascii="Verdana" w:eastAsia="Times New Roman" w:hAnsi="Verdana"/>
          <w:color w:val="262626" w:themeColor="text1" w:themeTint="D9"/>
          <w:sz w:val="20"/>
          <w:szCs w:val="20"/>
          <w:lang w:val="en-GB" w:eastAsia="en-US"/>
        </w:rPr>
        <w:t>is meant</w:t>
      </w:r>
      <w:proofErr w:type="gramEnd"/>
      <w:r w:rsidRPr="00C57D4B">
        <w:rPr>
          <w:rFonts w:ascii="Verdana" w:eastAsia="Times New Roman" w:hAnsi="Verdana"/>
          <w:color w:val="262626" w:themeColor="text1" w:themeTint="D9"/>
          <w:sz w:val="20"/>
          <w:szCs w:val="20"/>
          <w:lang w:val="en-GB" w:eastAsia="en-US"/>
        </w:rPr>
        <w:t xml:space="preserve"> to inform the Commission and, if necessary, supply the necessary elements for a revision of the two Regulations.</w:t>
      </w:r>
      <w:r w:rsidRPr="00C57D4B">
        <w:rPr>
          <w:rFonts w:ascii="Segoe UI" w:hAnsi="Segoe UI" w:cs="Segoe UI"/>
          <w:color w:val="262626" w:themeColor="text1" w:themeTint="D9"/>
          <w:sz w:val="23"/>
          <w:szCs w:val="23"/>
          <w:lang w:val="en-GB"/>
        </w:rPr>
        <w:t xml:space="preserve"> </w:t>
      </w:r>
    </w:p>
    <w:p w14:paraId="49C4B555" w14:textId="77777777" w:rsidR="00C85BD0" w:rsidRPr="00C57D4B" w:rsidRDefault="00C85BD0" w:rsidP="002975D6">
      <w:pPr>
        <w:pStyle w:val="NormalWeb"/>
        <w:shd w:val="clear" w:color="auto" w:fill="FFFFFF"/>
        <w:spacing w:before="0" w:beforeAutospacing="0" w:after="0" w:afterAutospacing="0" w:line="293" w:lineRule="atLeast"/>
        <w:rPr>
          <w:rFonts w:ascii="Verdana" w:eastAsia="Times New Roman" w:hAnsi="Verdana"/>
          <w:color w:val="262626" w:themeColor="text1" w:themeTint="D9"/>
          <w:sz w:val="20"/>
          <w:szCs w:val="20"/>
          <w:lang w:val="en-GB" w:eastAsia="en-US"/>
        </w:rPr>
      </w:pPr>
    </w:p>
    <w:p w14:paraId="0C74CE78" w14:textId="77777777" w:rsidR="000A39CD" w:rsidRDefault="00AE6062" w:rsidP="00CE3DEA">
      <w:pPr>
        <w:pStyle w:val="NormalWeb"/>
        <w:keepNext/>
        <w:shd w:val="clear" w:color="auto" w:fill="FFFFFF"/>
        <w:spacing w:before="0" w:beforeAutospacing="0" w:after="0" w:afterAutospacing="0" w:line="293" w:lineRule="atLeast"/>
        <w:jc w:val="center"/>
      </w:pPr>
      <w:r w:rsidRPr="00C57D4B">
        <w:rPr>
          <w:rFonts w:ascii="Verdana" w:eastAsia="Times New Roman" w:hAnsi="Verdana"/>
          <w:noProof/>
          <w:color w:val="262626" w:themeColor="text1" w:themeTint="D9"/>
          <w:sz w:val="20"/>
          <w:szCs w:val="20"/>
        </w:rPr>
        <w:drawing>
          <wp:inline distT="0" distB="0" distL="0" distR="0" wp14:anchorId="4DFA68B8" wp14:editId="0D842A8F">
            <wp:extent cx="4311697" cy="2853392"/>
            <wp:effectExtent l="0" t="0" r="0"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4314384" cy="2855170"/>
                    </a:xfrm>
                    <a:prstGeom prst="rect">
                      <a:avLst/>
                    </a:prstGeom>
                  </pic:spPr>
                </pic:pic>
              </a:graphicData>
            </a:graphic>
          </wp:inline>
        </w:drawing>
      </w:r>
    </w:p>
    <w:p w14:paraId="4A76D780" w14:textId="43D39C42" w:rsidR="008A15DD" w:rsidRPr="00AA24C0" w:rsidRDefault="000A39CD" w:rsidP="00CE3DEA">
      <w:pPr>
        <w:pStyle w:val="Caption"/>
        <w:jc w:val="center"/>
        <w:rPr>
          <w:rFonts w:ascii="Verdana" w:hAnsi="Verdana"/>
          <w:i/>
          <w:iCs/>
          <w:color w:val="262626" w:themeColor="text1" w:themeTint="D9"/>
          <w:sz w:val="18"/>
          <w:szCs w:val="18"/>
        </w:rPr>
      </w:pPr>
      <w:r w:rsidRPr="00AA24C0">
        <w:rPr>
          <w:rFonts w:ascii="Verdana" w:hAnsi="Verdana"/>
          <w:i/>
          <w:iCs/>
          <w:sz w:val="18"/>
          <w:szCs w:val="18"/>
        </w:rPr>
        <w:t>Figure 7: EU Ecodesign regulations of refrigerating appliances.</w:t>
      </w:r>
    </w:p>
    <w:p w14:paraId="0768A630" w14:textId="77777777" w:rsidR="008A15DD" w:rsidRPr="00C57D4B" w:rsidRDefault="008A15DD" w:rsidP="002975D6">
      <w:pPr>
        <w:pStyle w:val="NormalWeb"/>
        <w:shd w:val="clear" w:color="auto" w:fill="FFFFFF"/>
        <w:spacing w:before="0" w:beforeAutospacing="0" w:after="0" w:afterAutospacing="0" w:line="293" w:lineRule="atLeast"/>
        <w:rPr>
          <w:rFonts w:ascii="Verdana" w:eastAsia="Times New Roman" w:hAnsi="Verdana"/>
          <w:color w:val="262626" w:themeColor="text1" w:themeTint="D9"/>
          <w:sz w:val="20"/>
          <w:szCs w:val="20"/>
          <w:lang w:val="en-GB" w:eastAsia="en-US"/>
        </w:rPr>
      </w:pPr>
    </w:p>
    <w:p w14:paraId="34266050" w14:textId="77777777" w:rsidR="00C24AD2" w:rsidRPr="00C57D4B" w:rsidRDefault="00C24AD2" w:rsidP="002975D6">
      <w:pPr>
        <w:pStyle w:val="NormalWeb"/>
        <w:shd w:val="clear" w:color="auto" w:fill="FFFFFF"/>
        <w:spacing w:before="0" w:beforeAutospacing="0" w:after="0" w:afterAutospacing="0" w:line="293" w:lineRule="atLeast"/>
        <w:rPr>
          <w:rFonts w:ascii="Verdana" w:eastAsia="Times New Roman" w:hAnsi="Verdana"/>
          <w:color w:val="262626" w:themeColor="text1" w:themeTint="D9"/>
          <w:sz w:val="20"/>
          <w:szCs w:val="20"/>
          <w:lang w:val="en-GB" w:eastAsia="en-US"/>
        </w:rPr>
      </w:pPr>
    </w:p>
    <w:p w14:paraId="7C21BEB8" w14:textId="2794763D" w:rsidR="001A5DD1" w:rsidRPr="00C57D4B" w:rsidRDefault="001A5DD1" w:rsidP="002975D6">
      <w:pPr>
        <w:pStyle w:val="NormalWeb"/>
        <w:shd w:val="clear" w:color="auto" w:fill="FFFFFF"/>
        <w:spacing w:before="0" w:beforeAutospacing="0" w:after="0" w:afterAutospacing="0" w:line="293" w:lineRule="atLeast"/>
        <w:rPr>
          <w:rFonts w:ascii="Segoe UI" w:hAnsi="Segoe UI" w:cs="Segoe UI"/>
          <w:color w:val="262626" w:themeColor="text1" w:themeTint="D9"/>
          <w:sz w:val="23"/>
          <w:szCs w:val="23"/>
          <w:lang w:val="en-GB"/>
        </w:rPr>
      </w:pPr>
    </w:p>
    <w:p w14:paraId="0588D662" w14:textId="5160BF38" w:rsidR="007C7891" w:rsidRPr="00C57D4B" w:rsidRDefault="009B70E5" w:rsidP="00CE3DEA">
      <w:pPr>
        <w:pStyle w:val="Heading2"/>
        <w:tabs>
          <w:tab w:val="clear" w:pos="1712"/>
        </w:tabs>
      </w:pPr>
      <w:r w:rsidRPr="00C57D4B">
        <w:t>Key impacts</w:t>
      </w:r>
    </w:p>
    <w:p w14:paraId="0416EFE8" w14:textId="1BD23554" w:rsidR="008A15DD" w:rsidRPr="00C57D4B" w:rsidRDefault="00380E0C" w:rsidP="00C57D4B">
      <w:pPr>
        <w:pStyle w:val="NormalWeb"/>
        <w:shd w:val="clear" w:color="auto" w:fill="FFFFFF"/>
        <w:spacing w:before="0" w:beforeAutospacing="0" w:after="0" w:afterAutospacing="0" w:line="293" w:lineRule="atLeast"/>
        <w:jc w:val="both"/>
        <w:rPr>
          <w:rFonts w:ascii="Verdana" w:eastAsia="Times New Roman" w:hAnsi="Verdana"/>
          <w:color w:val="262626" w:themeColor="text1" w:themeTint="D9"/>
          <w:sz w:val="20"/>
          <w:szCs w:val="20"/>
          <w:lang w:val="en-GB" w:eastAsia="en-US"/>
        </w:rPr>
      </w:pPr>
      <w:r w:rsidRPr="00C57D4B">
        <w:rPr>
          <w:rFonts w:ascii="Verdana" w:eastAsia="Times New Roman" w:hAnsi="Verdana"/>
          <w:color w:val="262626" w:themeColor="text1" w:themeTint="D9"/>
          <w:sz w:val="20"/>
          <w:szCs w:val="20"/>
          <w:lang w:val="en-GB" w:eastAsia="en-US"/>
        </w:rPr>
        <w:t xml:space="preserve">Electricity consumption (EU27, 2020) of products currently in scope is 80.5 TWh/a (condensing units corrected for double counting, e.g. with commercial refrigeration), of which </w:t>
      </w:r>
      <w:r w:rsidR="004B4CE0">
        <w:rPr>
          <w:rFonts w:ascii="Verdana" w:eastAsia="Times New Roman" w:hAnsi="Verdana"/>
          <w:color w:val="262626" w:themeColor="text1" w:themeTint="D9"/>
          <w:sz w:val="20"/>
          <w:szCs w:val="20"/>
          <w:lang w:val="en-GB" w:eastAsia="en-US"/>
        </w:rPr>
        <w:t xml:space="preserve">professional refrigerated storage </w:t>
      </w:r>
      <w:r w:rsidRPr="00C57D4B">
        <w:rPr>
          <w:rFonts w:ascii="Verdana" w:eastAsia="Times New Roman" w:hAnsi="Verdana"/>
          <w:color w:val="262626" w:themeColor="text1" w:themeTint="D9"/>
          <w:sz w:val="20"/>
          <w:szCs w:val="20"/>
          <w:lang w:val="en-GB" w:eastAsia="en-US"/>
        </w:rPr>
        <w:t xml:space="preserve">cabinets </w:t>
      </w:r>
      <w:r w:rsidR="004B4CE0">
        <w:rPr>
          <w:rFonts w:ascii="Verdana" w:eastAsia="Times New Roman" w:hAnsi="Verdana"/>
          <w:color w:val="262626" w:themeColor="text1" w:themeTint="D9"/>
          <w:sz w:val="20"/>
          <w:szCs w:val="20"/>
          <w:lang w:val="en-GB" w:eastAsia="en-US"/>
        </w:rPr>
        <w:t xml:space="preserve">consume </w:t>
      </w:r>
      <w:r w:rsidRPr="00C57D4B">
        <w:rPr>
          <w:rFonts w:ascii="Verdana" w:eastAsia="Times New Roman" w:hAnsi="Verdana"/>
          <w:color w:val="262626" w:themeColor="text1" w:themeTint="D9"/>
          <w:sz w:val="20"/>
          <w:szCs w:val="20"/>
          <w:lang w:val="en-GB" w:eastAsia="en-US"/>
        </w:rPr>
        <w:t>8.2 TWh/a, condensing units 25.3 TWh/</w:t>
      </w:r>
      <w:proofErr w:type="gramStart"/>
      <w:r w:rsidRPr="00C57D4B">
        <w:rPr>
          <w:rFonts w:ascii="Verdana" w:eastAsia="Times New Roman" w:hAnsi="Verdana"/>
          <w:color w:val="262626" w:themeColor="text1" w:themeTint="D9"/>
          <w:sz w:val="20"/>
          <w:szCs w:val="20"/>
          <w:lang w:val="en-GB" w:eastAsia="en-US"/>
        </w:rPr>
        <w:t>a and</w:t>
      </w:r>
      <w:proofErr w:type="gramEnd"/>
      <w:r w:rsidRPr="00C57D4B">
        <w:rPr>
          <w:rFonts w:ascii="Verdana" w:eastAsia="Times New Roman" w:hAnsi="Verdana"/>
          <w:color w:val="262626" w:themeColor="text1" w:themeTint="D9"/>
          <w:sz w:val="20"/>
          <w:szCs w:val="20"/>
          <w:lang w:val="en-GB" w:eastAsia="en-US"/>
        </w:rPr>
        <w:t xml:space="preserve"> process chillers 46.9 TWh/a. </w:t>
      </w:r>
      <w:r w:rsidR="00133CBC" w:rsidRPr="00C57D4B">
        <w:rPr>
          <w:rFonts w:ascii="Verdana" w:eastAsia="Times New Roman" w:hAnsi="Verdana"/>
          <w:color w:val="262626" w:themeColor="text1" w:themeTint="D9"/>
          <w:sz w:val="20"/>
          <w:szCs w:val="20"/>
          <w:lang w:val="en-GB" w:eastAsia="en-US"/>
        </w:rPr>
        <w:t>W</w:t>
      </w:r>
      <w:r w:rsidR="001A5DD1" w:rsidRPr="00C57D4B">
        <w:rPr>
          <w:rFonts w:ascii="Verdana" w:eastAsia="Times New Roman" w:hAnsi="Verdana"/>
          <w:color w:val="262626" w:themeColor="text1" w:themeTint="D9"/>
          <w:sz w:val="20"/>
          <w:szCs w:val="20"/>
          <w:lang w:val="en-GB" w:eastAsia="en-US"/>
        </w:rPr>
        <w:t>ithout new measures</w:t>
      </w:r>
      <w:r w:rsidR="00133CBC" w:rsidRPr="00C57D4B">
        <w:rPr>
          <w:rFonts w:ascii="Verdana" w:eastAsia="Times New Roman" w:hAnsi="Verdana"/>
          <w:color w:val="262626" w:themeColor="text1" w:themeTint="D9"/>
          <w:sz w:val="20"/>
          <w:szCs w:val="20"/>
          <w:lang w:val="en-GB" w:eastAsia="en-US"/>
        </w:rPr>
        <w:t>, at a growth rate of 2</w:t>
      </w:r>
      <w:r w:rsidR="004B4CE0">
        <w:rPr>
          <w:rFonts w:ascii="Verdana" w:eastAsia="Times New Roman" w:hAnsi="Verdana"/>
          <w:color w:val="262626" w:themeColor="text1" w:themeTint="D9"/>
          <w:sz w:val="20"/>
          <w:szCs w:val="20"/>
          <w:lang w:val="en-GB" w:eastAsia="en-US"/>
        </w:rPr>
        <w:t xml:space="preserve"> </w:t>
      </w:r>
      <w:r w:rsidR="00133CBC" w:rsidRPr="00C57D4B">
        <w:rPr>
          <w:rFonts w:ascii="Verdana" w:eastAsia="Times New Roman" w:hAnsi="Verdana"/>
          <w:color w:val="262626" w:themeColor="text1" w:themeTint="D9"/>
          <w:sz w:val="20"/>
          <w:szCs w:val="20"/>
          <w:lang w:val="en-GB" w:eastAsia="en-US"/>
        </w:rPr>
        <w:t>%</w:t>
      </w:r>
      <w:r w:rsidR="004B4CE0">
        <w:rPr>
          <w:rFonts w:ascii="Verdana" w:eastAsia="Times New Roman" w:hAnsi="Verdana"/>
          <w:color w:val="262626" w:themeColor="text1" w:themeTint="D9"/>
          <w:sz w:val="20"/>
          <w:szCs w:val="20"/>
          <w:lang w:val="en-GB" w:eastAsia="en-US"/>
        </w:rPr>
        <w:t xml:space="preserve"> per year</w:t>
      </w:r>
      <w:r w:rsidR="00133CBC" w:rsidRPr="00C57D4B">
        <w:rPr>
          <w:rFonts w:ascii="Verdana" w:eastAsia="Times New Roman" w:hAnsi="Verdana"/>
          <w:color w:val="262626" w:themeColor="text1" w:themeTint="D9"/>
          <w:sz w:val="20"/>
          <w:szCs w:val="20"/>
          <w:lang w:val="en-GB" w:eastAsia="en-US"/>
        </w:rPr>
        <w:t xml:space="preserve"> and </w:t>
      </w:r>
      <w:r w:rsidR="004B4CE0">
        <w:rPr>
          <w:rFonts w:ascii="Verdana" w:eastAsia="Times New Roman" w:hAnsi="Verdana"/>
          <w:color w:val="262626" w:themeColor="text1" w:themeTint="D9"/>
          <w:sz w:val="20"/>
          <w:szCs w:val="20"/>
          <w:lang w:val="en-GB" w:eastAsia="en-US"/>
        </w:rPr>
        <w:t xml:space="preserve">an </w:t>
      </w:r>
      <w:r w:rsidR="00133CBC" w:rsidRPr="00C57D4B">
        <w:rPr>
          <w:rFonts w:ascii="Verdana" w:eastAsia="Times New Roman" w:hAnsi="Verdana"/>
          <w:color w:val="262626" w:themeColor="text1" w:themeTint="D9"/>
          <w:sz w:val="20"/>
          <w:szCs w:val="20"/>
          <w:lang w:val="en-GB" w:eastAsia="en-US"/>
        </w:rPr>
        <w:t>efficiency improvement of 0.5</w:t>
      </w:r>
      <w:r w:rsidR="004B4CE0">
        <w:rPr>
          <w:rFonts w:ascii="Verdana" w:eastAsia="Times New Roman" w:hAnsi="Verdana"/>
          <w:color w:val="262626" w:themeColor="text1" w:themeTint="D9"/>
          <w:sz w:val="20"/>
          <w:szCs w:val="20"/>
          <w:lang w:val="en-GB" w:eastAsia="en-US"/>
        </w:rPr>
        <w:t xml:space="preserve"> </w:t>
      </w:r>
      <w:r w:rsidR="00133CBC" w:rsidRPr="00C57D4B">
        <w:rPr>
          <w:rFonts w:ascii="Verdana" w:eastAsia="Times New Roman" w:hAnsi="Verdana"/>
          <w:color w:val="262626" w:themeColor="text1" w:themeTint="D9"/>
          <w:sz w:val="20"/>
          <w:szCs w:val="20"/>
          <w:lang w:val="en-GB" w:eastAsia="en-US"/>
        </w:rPr>
        <w:t>%</w:t>
      </w:r>
      <w:r w:rsidR="004B4CE0">
        <w:rPr>
          <w:rFonts w:ascii="Verdana" w:eastAsia="Times New Roman" w:hAnsi="Verdana"/>
          <w:color w:val="262626" w:themeColor="text1" w:themeTint="D9"/>
          <w:sz w:val="20"/>
          <w:szCs w:val="20"/>
          <w:lang w:val="en-GB" w:eastAsia="en-US"/>
        </w:rPr>
        <w:t xml:space="preserve"> per year</w:t>
      </w:r>
      <w:r w:rsidR="00133CBC" w:rsidRPr="00C57D4B">
        <w:rPr>
          <w:rFonts w:ascii="Verdana" w:eastAsia="Times New Roman" w:hAnsi="Verdana"/>
          <w:color w:val="262626" w:themeColor="text1" w:themeTint="D9"/>
          <w:sz w:val="20"/>
          <w:szCs w:val="20"/>
          <w:lang w:val="en-GB" w:eastAsia="en-US"/>
        </w:rPr>
        <w:t xml:space="preserve"> this could arrive </w:t>
      </w:r>
      <w:r w:rsidR="001A5DD1" w:rsidRPr="00C57D4B">
        <w:rPr>
          <w:rFonts w:ascii="Verdana" w:eastAsia="Times New Roman" w:hAnsi="Verdana"/>
          <w:color w:val="262626" w:themeColor="text1" w:themeTint="D9"/>
          <w:sz w:val="20"/>
          <w:szCs w:val="20"/>
          <w:lang w:val="en-GB" w:eastAsia="en-US"/>
        </w:rPr>
        <w:t xml:space="preserve">at a consumption of </w:t>
      </w:r>
      <w:r w:rsidR="00133CBC" w:rsidRPr="00C57D4B">
        <w:rPr>
          <w:rFonts w:ascii="Verdana" w:eastAsia="Times New Roman" w:hAnsi="Verdana"/>
          <w:color w:val="262626" w:themeColor="text1" w:themeTint="D9"/>
          <w:sz w:val="20"/>
          <w:szCs w:val="20"/>
          <w:lang w:val="en-GB" w:eastAsia="en-US"/>
        </w:rPr>
        <w:t>about 100</w:t>
      </w:r>
      <w:r w:rsidR="001A5DD1" w:rsidRPr="00C57D4B">
        <w:rPr>
          <w:rFonts w:ascii="Verdana" w:eastAsia="Times New Roman" w:hAnsi="Verdana"/>
          <w:color w:val="262626" w:themeColor="text1" w:themeTint="D9"/>
          <w:sz w:val="20"/>
          <w:szCs w:val="20"/>
          <w:lang w:val="en-GB" w:eastAsia="en-US"/>
        </w:rPr>
        <w:t xml:space="preserve"> TWh/a</w:t>
      </w:r>
      <w:r w:rsidR="00DE3751" w:rsidRPr="00C57D4B">
        <w:rPr>
          <w:rFonts w:ascii="Verdana" w:eastAsia="Times New Roman" w:hAnsi="Verdana"/>
          <w:color w:val="262626" w:themeColor="text1" w:themeTint="D9"/>
          <w:sz w:val="20"/>
          <w:szCs w:val="20"/>
          <w:lang w:val="en-GB" w:eastAsia="en-US"/>
        </w:rPr>
        <w:t xml:space="preserve"> in 2030</w:t>
      </w:r>
      <w:r w:rsidR="00133CBC" w:rsidRPr="00C57D4B">
        <w:rPr>
          <w:rFonts w:ascii="Verdana" w:eastAsia="Times New Roman" w:hAnsi="Verdana"/>
          <w:color w:val="262626" w:themeColor="text1" w:themeTint="D9"/>
          <w:sz w:val="20"/>
          <w:szCs w:val="20"/>
          <w:lang w:val="en-GB" w:eastAsia="en-US"/>
        </w:rPr>
        <w:t xml:space="preserve">. Under current </w:t>
      </w:r>
      <w:proofErr w:type="gramStart"/>
      <w:r w:rsidR="00133CBC" w:rsidRPr="00C57D4B">
        <w:rPr>
          <w:rFonts w:ascii="Verdana" w:eastAsia="Times New Roman" w:hAnsi="Verdana"/>
          <w:color w:val="262626" w:themeColor="text1" w:themeTint="D9"/>
          <w:sz w:val="20"/>
          <w:szCs w:val="20"/>
          <w:lang w:val="en-GB" w:eastAsia="en-US"/>
        </w:rPr>
        <w:t>circumstances</w:t>
      </w:r>
      <w:proofErr w:type="gramEnd"/>
      <w:r w:rsidR="00133CBC" w:rsidRPr="00C57D4B">
        <w:rPr>
          <w:rFonts w:ascii="Verdana" w:eastAsia="Times New Roman" w:hAnsi="Verdana"/>
          <w:color w:val="262626" w:themeColor="text1" w:themeTint="D9"/>
          <w:sz w:val="20"/>
          <w:szCs w:val="20"/>
          <w:lang w:val="en-GB" w:eastAsia="en-US"/>
        </w:rPr>
        <w:t xml:space="preserve"> this is a number with considerable uncertainty</w:t>
      </w:r>
      <w:r w:rsidR="00126F4F" w:rsidRPr="00C57D4B">
        <w:rPr>
          <w:rStyle w:val="FootnoteReference"/>
          <w:rFonts w:ascii="Verdana" w:eastAsia="Times New Roman" w:hAnsi="Verdana"/>
          <w:color w:val="262626" w:themeColor="text1" w:themeTint="D9"/>
          <w:lang w:val="en-GB" w:eastAsia="en-US"/>
        </w:rPr>
        <w:footnoteReference w:id="15"/>
      </w:r>
      <w:r w:rsidR="00972284" w:rsidRPr="00C57D4B">
        <w:rPr>
          <w:rFonts w:ascii="Verdana" w:eastAsia="Times New Roman" w:hAnsi="Verdana"/>
          <w:color w:val="262626" w:themeColor="text1" w:themeTint="D9"/>
          <w:sz w:val="20"/>
          <w:szCs w:val="20"/>
          <w:lang w:val="en-GB" w:eastAsia="en-US"/>
        </w:rPr>
        <w:t xml:space="preserve">. </w:t>
      </w:r>
      <w:r w:rsidR="00133CBC" w:rsidRPr="00C57D4B">
        <w:rPr>
          <w:rFonts w:ascii="Verdana" w:eastAsia="Times New Roman" w:hAnsi="Verdana"/>
          <w:color w:val="262626" w:themeColor="text1" w:themeTint="D9"/>
          <w:sz w:val="20"/>
          <w:szCs w:val="20"/>
          <w:lang w:val="en-GB" w:eastAsia="en-US"/>
        </w:rPr>
        <w:t>An electricity consumption of 100 TWh/</w:t>
      </w:r>
      <w:proofErr w:type="gramStart"/>
      <w:r w:rsidR="00133CBC" w:rsidRPr="00C57D4B">
        <w:rPr>
          <w:rFonts w:ascii="Verdana" w:eastAsia="Times New Roman" w:hAnsi="Verdana"/>
          <w:color w:val="262626" w:themeColor="text1" w:themeTint="D9"/>
          <w:sz w:val="20"/>
          <w:szCs w:val="20"/>
          <w:lang w:val="en-GB" w:eastAsia="en-US"/>
        </w:rPr>
        <w:t>a is</w:t>
      </w:r>
      <w:proofErr w:type="gramEnd"/>
      <w:r w:rsidR="00133CBC" w:rsidRPr="00C57D4B">
        <w:rPr>
          <w:rFonts w:ascii="Verdana" w:eastAsia="Times New Roman" w:hAnsi="Verdana"/>
          <w:color w:val="262626" w:themeColor="text1" w:themeTint="D9"/>
          <w:sz w:val="20"/>
          <w:szCs w:val="20"/>
          <w:lang w:val="en-GB" w:eastAsia="en-US"/>
        </w:rPr>
        <w:t xml:space="preserve"> slightly less than</w:t>
      </w:r>
      <w:r w:rsidR="000961B0" w:rsidRPr="00C57D4B">
        <w:rPr>
          <w:rFonts w:ascii="Verdana" w:eastAsia="Times New Roman" w:hAnsi="Verdana"/>
          <w:color w:val="262626" w:themeColor="text1" w:themeTint="D9"/>
          <w:sz w:val="20"/>
          <w:szCs w:val="20"/>
          <w:lang w:val="en-GB" w:eastAsia="en-US"/>
        </w:rPr>
        <w:t xml:space="preserve"> the annual electricity consumption of a country like the Netherlands with over 8 million households</w:t>
      </w:r>
      <w:r w:rsidR="00972284" w:rsidRPr="00C57D4B">
        <w:rPr>
          <w:rStyle w:val="FootnoteReference"/>
          <w:rFonts w:ascii="Verdana" w:eastAsia="Times New Roman" w:hAnsi="Verdana"/>
          <w:color w:val="262626" w:themeColor="text1" w:themeTint="D9"/>
          <w:lang w:val="en-GB" w:eastAsia="en-US"/>
        </w:rPr>
        <w:footnoteReference w:id="16"/>
      </w:r>
      <w:r w:rsidR="00FB1DCB">
        <w:rPr>
          <w:rFonts w:ascii="Verdana" w:eastAsia="Times New Roman" w:hAnsi="Verdana"/>
          <w:color w:val="262626" w:themeColor="text1" w:themeTint="D9"/>
          <w:sz w:val="20"/>
          <w:szCs w:val="20"/>
          <w:lang w:val="en-GB" w:eastAsia="en-US"/>
        </w:rPr>
        <w:t>.</w:t>
      </w:r>
      <w:r w:rsidR="00972284" w:rsidRPr="00C57D4B">
        <w:rPr>
          <w:rFonts w:ascii="Verdana" w:eastAsia="Times New Roman" w:hAnsi="Verdana"/>
          <w:color w:val="262626" w:themeColor="text1" w:themeTint="D9"/>
          <w:sz w:val="20"/>
          <w:szCs w:val="20"/>
          <w:lang w:val="en-GB" w:eastAsia="en-US"/>
        </w:rPr>
        <w:t xml:space="preserve"> </w:t>
      </w:r>
    </w:p>
    <w:p w14:paraId="7E7526A4" w14:textId="472C2868" w:rsidR="004D292A" w:rsidRPr="00C57D4B" w:rsidRDefault="000961B0" w:rsidP="00C57D4B">
      <w:pPr>
        <w:pStyle w:val="NormalWeb"/>
        <w:shd w:val="clear" w:color="auto" w:fill="FFFFFF"/>
        <w:spacing w:before="0" w:beforeAutospacing="0" w:after="0" w:afterAutospacing="0" w:line="293" w:lineRule="atLeast"/>
        <w:jc w:val="both"/>
        <w:rPr>
          <w:rFonts w:ascii="Verdana" w:eastAsia="Times New Roman" w:hAnsi="Verdana"/>
          <w:color w:val="262626" w:themeColor="text1" w:themeTint="D9"/>
          <w:sz w:val="20"/>
          <w:szCs w:val="20"/>
          <w:lang w:val="en-GB" w:eastAsia="en-US"/>
        </w:rPr>
      </w:pPr>
      <w:r w:rsidRPr="00C57D4B">
        <w:rPr>
          <w:rFonts w:ascii="Verdana" w:eastAsia="Times New Roman" w:hAnsi="Verdana"/>
          <w:color w:val="262626" w:themeColor="text1" w:themeTint="D9"/>
          <w:sz w:val="20"/>
          <w:szCs w:val="20"/>
          <w:lang w:val="en-GB" w:eastAsia="en-US"/>
        </w:rPr>
        <w:t xml:space="preserve"> </w:t>
      </w:r>
    </w:p>
    <w:p w14:paraId="79ABEC39" w14:textId="6A54957B" w:rsidR="00DE3751" w:rsidRPr="00C57D4B" w:rsidRDefault="008A15DD" w:rsidP="00C57D4B">
      <w:pPr>
        <w:pStyle w:val="NormalWeb"/>
        <w:shd w:val="clear" w:color="auto" w:fill="FFFFFF"/>
        <w:spacing w:before="0" w:beforeAutospacing="0" w:after="0" w:afterAutospacing="0" w:line="293" w:lineRule="atLeast"/>
        <w:jc w:val="both"/>
        <w:rPr>
          <w:rFonts w:ascii="Verdana" w:eastAsia="Times New Roman" w:hAnsi="Verdana"/>
          <w:color w:val="262626" w:themeColor="text1" w:themeTint="D9"/>
          <w:sz w:val="20"/>
          <w:szCs w:val="20"/>
          <w:lang w:val="en-GB" w:eastAsia="en-US"/>
        </w:rPr>
      </w:pPr>
      <w:r w:rsidRPr="00C57D4B">
        <w:rPr>
          <w:rFonts w:ascii="Verdana" w:eastAsia="Times New Roman" w:hAnsi="Verdana"/>
          <w:color w:val="262626" w:themeColor="text1" w:themeTint="D9"/>
          <w:sz w:val="20"/>
          <w:szCs w:val="20"/>
          <w:lang w:val="en-GB" w:eastAsia="en-US"/>
        </w:rPr>
        <w:t>The</w:t>
      </w:r>
      <w:r w:rsidR="004D292A" w:rsidRPr="00C57D4B">
        <w:rPr>
          <w:rFonts w:ascii="Verdana" w:eastAsia="Times New Roman" w:hAnsi="Verdana"/>
          <w:color w:val="262626" w:themeColor="text1" w:themeTint="D9"/>
          <w:sz w:val="20"/>
          <w:szCs w:val="20"/>
          <w:lang w:val="en-GB" w:eastAsia="en-US"/>
        </w:rPr>
        <w:t xml:space="preserve"> electricity production</w:t>
      </w:r>
      <w:r w:rsidRPr="00C57D4B">
        <w:rPr>
          <w:rFonts w:ascii="Verdana" w:eastAsia="Times New Roman" w:hAnsi="Verdana"/>
          <w:color w:val="262626" w:themeColor="text1" w:themeTint="D9"/>
          <w:sz w:val="20"/>
          <w:szCs w:val="20"/>
          <w:lang w:val="en-GB" w:eastAsia="en-US"/>
        </w:rPr>
        <w:t xml:space="preserve"> causes</w:t>
      </w:r>
      <w:r w:rsidR="004D292A" w:rsidRPr="00C57D4B">
        <w:rPr>
          <w:rFonts w:ascii="Verdana" w:eastAsia="Times New Roman" w:hAnsi="Verdana"/>
          <w:color w:val="262626" w:themeColor="text1" w:themeTint="D9"/>
          <w:sz w:val="20"/>
          <w:szCs w:val="20"/>
          <w:lang w:val="en-GB" w:eastAsia="en-US"/>
        </w:rPr>
        <w:t xml:space="preserve"> greenhouse gas emissions</w:t>
      </w:r>
      <w:r w:rsidRPr="00C57D4B">
        <w:rPr>
          <w:rFonts w:ascii="Verdana" w:eastAsia="Times New Roman" w:hAnsi="Verdana"/>
          <w:color w:val="262626" w:themeColor="text1" w:themeTint="D9"/>
          <w:sz w:val="20"/>
          <w:szCs w:val="20"/>
          <w:lang w:val="en-GB" w:eastAsia="en-US"/>
        </w:rPr>
        <w:t>, which</w:t>
      </w:r>
      <w:r w:rsidR="004D292A" w:rsidRPr="00C57D4B">
        <w:rPr>
          <w:rFonts w:ascii="Verdana" w:eastAsia="Times New Roman" w:hAnsi="Verdana"/>
          <w:color w:val="262626" w:themeColor="text1" w:themeTint="D9"/>
          <w:sz w:val="20"/>
          <w:szCs w:val="20"/>
          <w:lang w:val="en-GB" w:eastAsia="en-US"/>
        </w:rPr>
        <w:t xml:space="preserve"> </w:t>
      </w:r>
      <w:proofErr w:type="gramStart"/>
      <w:r w:rsidR="004D292A" w:rsidRPr="00C57D4B">
        <w:rPr>
          <w:rFonts w:ascii="Verdana" w:eastAsia="Times New Roman" w:hAnsi="Verdana"/>
          <w:color w:val="262626" w:themeColor="text1" w:themeTint="D9"/>
          <w:sz w:val="20"/>
          <w:szCs w:val="20"/>
          <w:lang w:val="en-GB" w:eastAsia="en-US"/>
        </w:rPr>
        <w:t>are projected</w:t>
      </w:r>
      <w:proofErr w:type="gramEnd"/>
      <w:r w:rsidR="004D292A" w:rsidRPr="00C57D4B">
        <w:rPr>
          <w:rFonts w:ascii="Verdana" w:eastAsia="Times New Roman" w:hAnsi="Verdana"/>
          <w:color w:val="262626" w:themeColor="text1" w:themeTint="D9"/>
          <w:sz w:val="20"/>
          <w:szCs w:val="20"/>
          <w:lang w:val="en-GB" w:eastAsia="en-US"/>
        </w:rPr>
        <w:t xml:space="preserve"> to </w:t>
      </w:r>
      <w:r w:rsidR="00FB1DCB">
        <w:rPr>
          <w:rFonts w:ascii="Verdana" w:eastAsia="Times New Roman" w:hAnsi="Verdana"/>
          <w:color w:val="262626" w:themeColor="text1" w:themeTint="D9"/>
          <w:sz w:val="20"/>
          <w:szCs w:val="20"/>
          <w:lang w:val="en-GB" w:eastAsia="en-US"/>
        </w:rPr>
        <w:t>increase</w:t>
      </w:r>
      <w:r w:rsidR="00FB1DCB" w:rsidRPr="00C57D4B">
        <w:rPr>
          <w:rFonts w:ascii="Verdana" w:eastAsia="Times New Roman" w:hAnsi="Verdana"/>
          <w:color w:val="262626" w:themeColor="text1" w:themeTint="D9"/>
          <w:sz w:val="20"/>
          <w:szCs w:val="20"/>
          <w:lang w:val="en-GB" w:eastAsia="en-US"/>
        </w:rPr>
        <w:t xml:space="preserve"> </w:t>
      </w:r>
      <w:r w:rsidR="004D292A" w:rsidRPr="00C57D4B">
        <w:rPr>
          <w:rFonts w:ascii="Verdana" w:eastAsia="Times New Roman" w:hAnsi="Verdana"/>
          <w:color w:val="262626" w:themeColor="text1" w:themeTint="D9"/>
          <w:sz w:val="20"/>
          <w:szCs w:val="20"/>
          <w:lang w:val="en-GB" w:eastAsia="en-US"/>
        </w:rPr>
        <w:t>from 34 to 36 MtCO</w:t>
      </w:r>
      <w:r w:rsidR="004D292A" w:rsidRPr="00CE3DEA">
        <w:rPr>
          <w:rFonts w:ascii="Verdana" w:eastAsia="Times New Roman" w:hAnsi="Verdana"/>
          <w:color w:val="262626" w:themeColor="text1" w:themeTint="D9"/>
          <w:sz w:val="20"/>
          <w:szCs w:val="20"/>
          <w:vertAlign w:val="subscript"/>
          <w:lang w:val="en-GB" w:eastAsia="en-US"/>
        </w:rPr>
        <w:t>2</w:t>
      </w:r>
      <w:r w:rsidR="004D292A" w:rsidRPr="00C57D4B">
        <w:rPr>
          <w:rFonts w:ascii="Verdana" w:eastAsia="Times New Roman" w:hAnsi="Verdana"/>
          <w:color w:val="262626" w:themeColor="text1" w:themeTint="D9"/>
          <w:sz w:val="20"/>
          <w:szCs w:val="20"/>
          <w:lang w:val="en-GB" w:eastAsia="en-US"/>
        </w:rPr>
        <w:t xml:space="preserve">eq. </w:t>
      </w:r>
      <w:proofErr w:type="gramStart"/>
      <w:r w:rsidR="004D292A" w:rsidRPr="00C57D4B">
        <w:rPr>
          <w:rFonts w:ascii="Verdana" w:eastAsia="Times New Roman" w:hAnsi="Verdana"/>
          <w:color w:val="262626" w:themeColor="text1" w:themeTint="D9"/>
          <w:sz w:val="20"/>
          <w:szCs w:val="20"/>
          <w:lang w:val="en-GB" w:eastAsia="en-US"/>
        </w:rPr>
        <w:t>between</w:t>
      </w:r>
      <w:proofErr w:type="gramEnd"/>
      <w:r w:rsidR="004D292A" w:rsidRPr="00C57D4B">
        <w:rPr>
          <w:rFonts w:ascii="Verdana" w:eastAsia="Times New Roman" w:hAnsi="Verdana"/>
          <w:color w:val="262626" w:themeColor="text1" w:themeTint="D9"/>
          <w:sz w:val="20"/>
          <w:szCs w:val="20"/>
          <w:lang w:val="en-GB" w:eastAsia="en-US"/>
        </w:rPr>
        <w:t xml:space="preserve"> 2020 and 2030 in a BAU (‘Business-as-Usual’) scenario.</w:t>
      </w:r>
      <w:r w:rsidR="00F37E5C" w:rsidRPr="00C57D4B">
        <w:rPr>
          <w:rFonts w:ascii="Verdana" w:eastAsia="Times New Roman" w:hAnsi="Verdana"/>
          <w:color w:val="262626" w:themeColor="text1" w:themeTint="D9"/>
          <w:sz w:val="20"/>
          <w:szCs w:val="20"/>
          <w:lang w:val="en-GB" w:eastAsia="en-US"/>
        </w:rPr>
        <w:t xml:space="preserve"> </w:t>
      </w:r>
    </w:p>
    <w:p w14:paraId="68652D65" w14:textId="77777777" w:rsidR="00DE3751" w:rsidRPr="00C57D4B" w:rsidRDefault="00DE3751" w:rsidP="00C57D4B">
      <w:pPr>
        <w:pStyle w:val="NormalWeb"/>
        <w:shd w:val="clear" w:color="auto" w:fill="FFFFFF"/>
        <w:spacing w:before="0" w:beforeAutospacing="0" w:after="0" w:afterAutospacing="0" w:line="293" w:lineRule="atLeast"/>
        <w:jc w:val="both"/>
        <w:rPr>
          <w:rFonts w:ascii="Verdana" w:eastAsia="Times New Roman" w:hAnsi="Verdana"/>
          <w:color w:val="262626" w:themeColor="text1" w:themeTint="D9"/>
          <w:sz w:val="20"/>
          <w:szCs w:val="20"/>
          <w:lang w:val="en-GB" w:eastAsia="en-US"/>
        </w:rPr>
      </w:pPr>
    </w:p>
    <w:p w14:paraId="1E89AF76" w14:textId="5BEA6B7D" w:rsidR="009E534A" w:rsidRPr="00C57D4B" w:rsidRDefault="003F39A6" w:rsidP="00C57D4B">
      <w:pPr>
        <w:pStyle w:val="NormalWeb"/>
        <w:shd w:val="clear" w:color="auto" w:fill="FFFFFF"/>
        <w:spacing w:before="0" w:beforeAutospacing="0" w:after="0" w:afterAutospacing="0" w:line="293" w:lineRule="atLeast"/>
        <w:jc w:val="both"/>
        <w:rPr>
          <w:rFonts w:ascii="Verdana" w:eastAsia="Times New Roman" w:hAnsi="Verdana"/>
          <w:color w:val="262626" w:themeColor="text1" w:themeTint="D9"/>
          <w:sz w:val="20"/>
          <w:szCs w:val="20"/>
          <w:lang w:val="en-GB" w:eastAsia="en-US"/>
        </w:rPr>
      </w:pPr>
      <w:r w:rsidRPr="00C57D4B">
        <w:rPr>
          <w:rFonts w:ascii="Verdana" w:eastAsia="Times New Roman" w:hAnsi="Verdana"/>
          <w:color w:val="262626" w:themeColor="text1" w:themeTint="D9"/>
          <w:sz w:val="20"/>
          <w:szCs w:val="20"/>
          <w:lang w:val="en-GB" w:eastAsia="en-US"/>
        </w:rPr>
        <w:lastRenderedPageBreak/>
        <w:t>T</w:t>
      </w:r>
      <w:r w:rsidR="00DE3751" w:rsidRPr="00C57D4B">
        <w:rPr>
          <w:rFonts w:ascii="Verdana" w:eastAsia="Times New Roman" w:hAnsi="Verdana"/>
          <w:color w:val="262626" w:themeColor="text1" w:themeTint="D9"/>
          <w:sz w:val="20"/>
          <w:szCs w:val="20"/>
          <w:lang w:val="en-GB" w:eastAsia="en-US"/>
        </w:rPr>
        <w:t xml:space="preserve">he annual energy bills of professional customers are to </w:t>
      </w:r>
      <w:r w:rsidR="004D292A" w:rsidRPr="00C57D4B">
        <w:rPr>
          <w:rFonts w:ascii="Verdana" w:eastAsia="Times New Roman" w:hAnsi="Verdana"/>
          <w:color w:val="262626" w:themeColor="text1" w:themeTint="D9"/>
          <w:sz w:val="20"/>
          <w:szCs w:val="20"/>
          <w:lang w:val="en-GB" w:eastAsia="en-US"/>
        </w:rPr>
        <w:t>go from €</w:t>
      </w:r>
      <w:r w:rsidR="009E534A" w:rsidRPr="00C57D4B">
        <w:rPr>
          <w:rFonts w:ascii="Verdana" w:eastAsia="Times New Roman" w:hAnsi="Verdana"/>
          <w:color w:val="262626" w:themeColor="text1" w:themeTint="D9"/>
          <w:sz w:val="20"/>
          <w:szCs w:val="20"/>
          <w:lang w:val="en-GB" w:eastAsia="en-US"/>
        </w:rPr>
        <w:t>12.8</w:t>
      </w:r>
      <w:r w:rsidR="004D292A" w:rsidRPr="00C57D4B">
        <w:rPr>
          <w:rFonts w:ascii="Verdana" w:eastAsia="Times New Roman" w:hAnsi="Verdana"/>
          <w:color w:val="262626" w:themeColor="text1" w:themeTint="D9"/>
          <w:sz w:val="20"/>
          <w:szCs w:val="20"/>
          <w:lang w:val="en-GB" w:eastAsia="en-US"/>
        </w:rPr>
        <w:t xml:space="preserve"> to </w:t>
      </w:r>
      <w:r w:rsidR="00DE3751" w:rsidRPr="00C57D4B">
        <w:rPr>
          <w:rFonts w:ascii="Verdana" w:eastAsia="Times New Roman" w:hAnsi="Verdana"/>
          <w:color w:val="262626" w:themeColor="text1" w:themeTint="D9"/>
          <w:sz w:val="20"/>
          <w:szCs w:val="20"/>
          <w:lang w:val="en-GB" w:eastAsia="en-US"/>
        </w:rPr>
        <w:t>€</w:t>
      </w:r>
      <w:r w:rsidR="009E534A" w:rsidRPr="00C57D4B">
        <w:rPr>
          <w:rFonts w:ascii="Verdana" w:eastAsia="Times New Roman" w:hAnsi="Verdana"/>
          <w:color w:val="262626" w:themeColor="text1" w:themeTint="D9"/>
          <w:sz w:val="20"/>
          <w:szCs w:val="20"/>
          <w:lang w:val="en-GB" w:eastAsia="en-US"/>
        </w:rPr>
        <w:t>16.</w:t>
      </w:r>
      <w:r w:rsidR="008B2814" w:rsidRPr="00C57D4B">
        <w:rPr>
          <w:rFonts w:ascii="Verdana" w:eastAsia="Times New Roman" w:hAnsi="Verdana"/>
          <w:color w:val="262626" w:themeColor="text1" w:themeTint="D9"/>
          <w:sz w:val="20"/>
          <w:szCs w:val="20"/>
          <w:lang w:val="en-GB" w:eastAsia="en-US"/>
        </w:rPr>
        <w:t>8</w:t>
      </w:r>
      <w:r w:rsidR="004D292A" w:rsidRPr="00C57D4B">
        <w:rPr>
          <w:rFonts w:ascii="Verdana" w:eastAsia="Times New Roman" w:hAnsi="Verdana"/>
          <w:color w:val="262626" w:themeColor="text1" w:themeTint="D9"/>
          <w:sz w:val="20"/>
          <w:szCs w:val="20"/>
          <w:lang w:val="en-GB" w:eastAsia="en-US"/>
        </w:rPr>
        <w:t xml:space="preserve"> bn (in constant 2020 €)</w:t>
      </w:r>
      <w:r w:rsidR="00DE3751" w:rsidRPr="00C57D4B">
        <w:rPr>
          <w:rFonts w:ascii="Verdana" w:eastAsia="Times New Roman" w:hAnsi="Verdana"/>
          <w:color w:val="262626" w:themeColor="text1" w:themeTint="D9"/>
          <w:sz w:val="20"/>
          <w:szCs w:val="20"/>
          <w:lang w:val="en-GB" w:eastAsia="en-US"/>
        </w:rPr>
        <w:t xml:space="preserve"> over that same period</w:t>
      </w:r>
      <w:r w:rsidRPr="00C57D4B">
        <w:rPr>
          <w:rStyle w:val="FootnoteReference"/>
          <w:rFonts w:ascii="Verdana" w:eastAsia="Times New Roman" w:hAnsi="Verdana"/>
          <w:color w:val="262626" w:themeColor="text1" w:themeTint="D9"/>
          <w:lang w:val="en-GB" w:eastAsia="en-US"/>
        </w:rPr>
        <w:footnoteReference w:id="17"/>
      </w:r>
      <w:r w:rsidR="004D292A" w:rsidRPr="00C57D4B">
        <w:rPr>
          <w:rFonts w:ascii="Verdana" w:eastAsia="Times New Roman" w:hAnsi="Verdana"/>
          <w:color w:val="262626" w:themeColor="text1" w:themeTint="D9"/>
          <w:sz w:val="20"/>
          <w:szCs w:val="20"/>
          <w:lang w:val="en-GB" w:eastAsia="en-US"/>
        </w:rPr>
        <w:t xml:space="preserve">. </w:t>
      </w:r>
      <w:r w:rsidR="00DE3751" w:rsidRPr="00C57D4B">
        <w:rPr>
          <w:rFonts w:ascii="Verdana" w:eastAsia="Times New Roman" w:hAnsi="Verdana"/>
          <w:color w:val="262626" w:themeColor="text1" w:themeTint="D9"/>
          <w:sz w:val="20"/>
          <w:szCs w:val="20"/>
          <w:lang w:val="en-GB" w:eastAsia="en-US"/>
        </w:rPr>
        <w:t>At</w:t>
      </w:r>
      <w:r w:rsidR="004D292A" w:rsidRPr="00C57D4B">
        <w:rPr>
          <w:rFonts w:ascii="Verdana" w:eastAsia="Times New Roman" w:hAnsi="Verdana"/>
          <w:color w:val="262626" w:themeColor="text1" w:themeTint="D9"/>
          <w:sz w:val="20"/>
          <w:szCs w:val="20"/>
          <w:lang w:val="en-GB" w:eastAsia="en-US"/>
        </w:rPr>
        <w:t xml:space="preserve"> current peak energy tariffs</w:t>
      </w:r>
      <w:r w:rsidR="00DE3751" w:rsidRPr="00C57D4B">
        <w:rPr>
          <w:rFonts w:ascii="Verdana" w:eastAsia="Times New Roman" w:hAnsi="Verdana"/>
          <w:color w:val="262626" w:themeColor="text1" w:themeTint="D9"/>
          <w:sz w:val="20"/>
          <w:szCs w:val="20"/>
          <w:lang w:val="en-GB" w:eastAsia="en-US"/>
        </w:rPr>
        <w:t>,</w:t>
      </w:r>
      <w:r w:rsidR="004D292A" w:rsidRPr="00C57D4B">
        <w:rPr>
          <w:rFonts w:ascii="Verdana" w:eastAsia="Times New Roman" w:hAnsi="Verdana"/>
          <w:color w:val="262626" w:themeColor="text1" w:themeTint="D9"/>
          <w:sz w:val="20"/>
          <w:szCs w:val="20"/>
          <w:lang w:val="en-GB" w:eastAsia="en-US"/>
        </w:rPr>
        <w:t xml:space="preserve"> the energy costs </w:t>
      </w:r>
      <w:r w:rsidR="005D3340" w:rsidRPr="00C57D4B">
        <w:rPr>
          <w:rFonts w:ascii="Verdana" w:eastAsia="Times New Roman" w:hAnsi="Verdana"/>
          <w:color w:val="262626" w:themeColor="text1" w:themeTint="D9"/>
          <w:sz w:val="20"/>
          <w:szCs w:val="20"/>
          <w:lang w:val="en-GB" w:eastAsia="en-US"/>
        </w:rPr>
        <w:t>c</w:t>
      </w:r>
      <w:r w:rsidR="009E534A" w:rsidRPr="00C57D4B">
        <w:rPr>
          <w:rFonts w:ascii="Verdana" w:eastAsia="Times New Roman" w:hAnsi="Verdana"/>
          <w:color w:val="262626" w:themeColor="text1" w:themeTint="D9"/>
          <w:sz w:val="20"/>
          <w:szCs w:val="20"/>
          <w:lang w:val="en-GB" w:eastAsia="en-US"/>
        </w:rPr>
        <w:t xml:space="preserve">ould </w:t>
      </w:r>
      <w:r w:rsidR="00DE3751" w:rsidRPr="00C57D4B">
        <w:rPr>
          <w:rFonts w:ascii="Verdana" w:eastAsia="Times New Roman" w:hAnsi="Verdana"/>
          <w:color w:val="262626" w:themeColor="text1" w:themeTint="D9"/>
          <w:sz w:val="20"/>
          <w:szCs w:val="20"/>
          <w:lang w:val="en-GB" w:eastAsia="en-US"/>
        </w:rPr>
        <w:t xml:space="preserve">be </w:t>
      </w:r>
      <w:r w:rsidR="009E534A" w:rsidRPr="00C57D4B">
        <w:rPr>
          <w:rFonts w:ascii="Verdana" w:eastAsia="Times New Roman" w:hAnsi="Verdana"/>
          <w:color w:val="262626" w:themeColor="text1" w:themeTint="D9"/>
          <w:sz w:val="20"/>
          <w:szCs w:val="20"/>
          <w:lang w:val="en-GB" w:eastAsia="en-US"/>
        </w:rPr>
        <w:t>at least double</w:t>
      </w:r>
      <w:r w:rsidR="00DE3751" w:rsidRPr="00C57D4B">
        <w:rPr>
          <w:rFonts w:ascii="Verdana" w:eastAsia="Times New Roman" w:hAnsi="Verdana"/>
          <w:color w:val="262626" w:themeColor="text1" w:themeTint="D9"/>
          <w:sz w:val="20"/>
          <w:szCs w:val="20"/>
          <w:lang w:val="en-GB" w:eastAsia="en-US"/>
        </w:rPr>
        <w:t xml:space="preserve"> that amount</w:t>
      </w:r>
      <w:r w:rsidR="009E534A" w:rsidRPr="00C57D4B">
        <w:rPr>
          <w:rFonts w:ascii="Verdana" w:eastAsia="Times New Roman" w:hAnsi="Verdana"/>
          <w:color w:val="262626" w:themeColor="text1" w:themeTint="D9"/>
          <w:sz w:val="20"/>
          <w:szCs w:val="20"/>
          <w:lang w:val="en-GB" w:eastAsia="en-US"/>
        </w:rPr>
        <w:t>.</w:t>
      </w:r>
    </w:p>
    <w:p w14:paraId="290CE800" w14:textId="77777777" w:rsidR="008A15DD" w:rsidRPr="00C57D4B" w:rsidRDefault="008A15DD" w:rsidP="00C57D4B">
      <w:pPr>
        <w:pStyle w:val="NormalWeb"/>
        <w:shd w:val="clear" w:color="auto" w:fill="FFFFFF"/>
        <w:spacing w:before="0" w:beforeAutospacing="0" w:after="0" w:afterAutospacing="0" w:line="293" w:lineRule="atLeast"/>
        <w:jc w:val="both"/>
        <w:rPr>
          <w:rFonts w:ascii="Verdana" w:eastAsia="Times New Roman" w:hAnsi="Verdana"/>
          <w:color w:val="262626" w:themeColor="text1" w:themeTint="D9"/>
          <w:sz w:val="20"/>
          <w:szCs w:val="20"/>
          <w:lang w:val="en-GB" w:eastAsia="en-US"/>
        </w:rPr>
      </w:pPr>
    </w:p>
    <w:p w14:paraId="26108270" w14:textId="6356878D" w:rsidR="001116BC" w:rsidRPr="00C57D4B" w:rsidRDefault="00972284" w:rsidP="00C57D4B">
      <w:pPr>
        <w:pStyle w:val="NormalWeb"/>
        <w:shd w:val="clear" w:color="auto" w:fill="FFFFFF"/>
        <w:spacing w:before="0" w:beforeAutospacing="0" w:after="0" w:afterAutospacing="0" w:line="293" w:lineRule="atLeast"/>
        <w:jc w:val="both"/>
        <w:rPr>
          <w:rFonts w:ascii="Verdana" w:eastAsia="Times New Roman" w:hAnsi="Verdana"/>
          <w:color w:val="262626" w:themeColor="text1" w:themeTint="D9"/>
          <w:sz w:val="20"/>
          <w:szCs w:val="20"/>
          <w:lang w:val="en-GB" w:eastAsia="en-US"/>
        </w:rPr>
      </w:pPr>
      <w:r w:rsidRPr="00C57D4B">
        <w:rPr>
          <w:rFonts w:ascii="Verdana" w:eastAsia="Times New Roman" w:hAnsi="Verdana"/>
          <w:color w:val="262626" w:themeColor="text1" w:themeTint="D9"/>
          <w:sz w:val="20"/>
          <w:szCs w:val="20"/>
          <w:lang w:val="en-GB" w:eastAsia="en-US"/>
        </w:rPr>
        <w:t xml:space="preserve">The size of this B2B market </w:t>
      </w:r>
      <w:proofErr w:type="gramStart"/>
      <w:r w:rsidRPr="00C57D4B">
        <w:rPr>
          <w:rFonts w:ascii="Verdana" w:eastAsia="Times New Roman" w:hAnsi="Verdana"/>
          <w:color w:val="262626" w:themeColor="text1" w:themeTint="D9"/>
          <w:sz w:val="20"/>
          <w:szCs w:val="20"/>
          <w:lang w:val="en-GB" w:eastAsia="en-US"/>
        </w:rPr>
        <w:t>is estimated</w:t>
      </w:r>
      <w:proofErr w:type="gramEnd"/>
      <w:r w:rsidR="009E534A" w:rsidRPr="00C57D4B">
        <w:rPr>
          <w:rFonts w:ascii="Verdana" w:eastAsia="Times New Roman" w:hAnsi="Verdana"/>
          <w:color w:val="262626" w:themeColor="text1" w:themeTint="D9"/>
          <w:sz w:val="20"/>
          <w:szCs w:val="20"/>
          <w:lang w:val="en-GB" w:eastAsia="en-US"/>
        </w:rPr>
        <w:t xml:space="preserve"> at €1.7 to 1.9 </w:t>
      </w:r>
      <w:r w:rsidR="000A4F4B" w:rsidRPr="00C57D4B">
        <w:rPr>
          <w:rFonts w:ascii="Verdana" w:eastAsia="Times New Roman" w:hAnsi="Verdana"/>
          <w:color w:val="262626" w:themeColor="text1" w:themeTint="D9"/>
          <w:sz w:val="20"/>
          <w:szCs w:val="20"/>
          <w:lang w:val="en-GB" w:eastAsia="en-US"/>
        </w:rPr>
        <w:t xml:space="preserve">bn </w:t>
      </w:r>
      <w:r w:rsidRPr="00C57D4B">
        <w:rPr>
          <w:rFonts w:ascii="Verdana" w:eastAsia="Times New Roman" w:hAnsi="Verdana"/>
          <w:color w:val="262626" w:themeColor="text1" w:themeTint="D9"/>
          <w:sz w:val="20"/>
          <w:szCs w:val="20"/>
          <w:lang w:val="en-GB" w:eastAsia="en-US"/>
        </w:rPr>
        <w:t>(20</w:t>
      </w:r>
      <w:r w:rsidR="00422F4F" w:rsidRPr="00C57D4B">
        <w:rPr>
          <w:rFonts w:ascii="Verdana" w:eastAsia="Times New Roman" w:hAnsi="Verdana"/>
          <w:color w:val="262626" w:themeColor="text1" w:themeTint="D9"/>
          <w:sz w:val="20"/>
          <w:szCs w:val="20"/>
          <w:lang w:val="en-GB" w:eastAsia="en-US"/>
        </w:rPr>
        <w:t>18</w:t>
      </w:r>
      <w:r w:rsidRPr="00C57D4B">
        <w:rPr>
          <w:rFonts w:ascii="Verdana" w:eastAsia="Times New Roman" w:hAnsi="Verdana"/>
          <w:color w:val="262626" w:themeColor="text1" w:themeTint="D9"/>
          <w:sz w:val="20"/>
          <w:szCs w:val="20"/>
          <w:lang w:val="en-GB" w:eastAsia="en-US"/>
        </w:rPr>
        <w:t>)</w:t>
      </w:r>
      <w:r w:rsidR="000A4F4B" w:rsidRPr="00C57D4B">
        <w:rPr>
          <w:rFonts w:ascii="Verdana" w:eastAsia="Times New Roman" w:hAnsi="Verdana"/>
          <w:color w:val="262626" w:themeColor="text1" w:themeTint="D9"/>
          <w:sz w:val="20"/>
          <w:szCs w:val="20"/>
          <w:lang w:val="en-GB" w:eastAsia="en-US"/>
        </w:rPr>
        <w:t>. About</w:t>
      </w:r>
      <w:r w:rsidR="009E534A" w:rsidRPr="00C57D4B">
        <w:rPr>
          <w:rFonts w:ascii="Verdana" w:eastAsia="Times New Roman" w:hAnsi="Verdana"/>
          <w:color w:val="262626" w:themeColor="text1" w:themeTint="D9"/>
          <w:sz w:val="20"/>
          <w:szCs w:val="20"/>
          <w:lang w:val="en-GB" w:eastAsia="en-US"/>
        </w:rPr>
        <w:t xml:space="preserve"> 70</w:t>
      </w:r>
      <w:r w:rsidR="00E450CF">
        <w:rPr>
          <w:rFonts w:ascii="Verdana" w:eastAsia="Times New Roman" w:hAnsi="Verdana"/>
          <w:color w:val="262626" w:themeColor="text1" w:themeTint="D9"/>
          <w:sz w:val="20"/>
          <w:szCs w:val="20"/>
          <w:lang w:val="en-GB" w:eastAsia="en-US"/>
        </w:rPr>
        <w:t xml:space="preserve"> </w:t>
      </w:r>
      <w:r w:rsidR="009E534A" w:rsidRPr="00C57D4B">
        <w:rPr>
          <w:rFonts w:ascii="Verdana" w:eastAsia="Times New Roman" w:hAnsi="Verdana"/>
          <w:color w:val="262626" w:themeColor="text1" w:themeTint="D9"/>
          <w:sz w:val="20"/>
          <w:szCs w:val="20"/>
          <w:lang w:val="en-GB" w:eastAsia="en-US"/>
        </w:rPr>
        <w:t xml:space="preserve">% </w:t>
      </w:r>
      <w:r w:rsidR="000A4F4B" w:rsidRPr="00C57D4B">
        <w:rPr>
          <w:rFonts w:ascii="Verdana" w:eastAsia="Times New Roman" w:hAnsi="Verdana"/>
          <w:color w:val="262626" w:themeColor="text1" w:themeTint="D9"/>
          <w:sz w:val="20"/>
          <w:szCs w:val="20"/>
          <w:lang w:val="en-GB" w:eastAsia="en-US"/>
        </w:rPr>
        <w:t xml:space="preserve">of this </w:t>
      </w:r>
      <w:r w:rsidR="009E534A" w:rsidRPr="00C57D4B">
        <w:rPr>
          <w:rFonts w:ascii="Verdana" w:eastAsia="Times New Roman" w:hAnsi="Verdana"/>
          <w:color w:val="262626" w:themeColor="text1" w:themeTint="D9"/>
          <w:sz w:val="20"/>
          <w:szCs w:val="20"/>
          <w:lang w:val="en-GB" w:eastAsia="en-US"/>
        </w:rPr>
        <w:t xml:space="preserve">will </w:t>
      </w:r>
      <w:r w:rsidR="0051645C" w:rsidRPr="00C57D4B">
        <w:rPr>
          <w:rFonts w:ascii="Verdana" w:eastAsia="Times New Roman" w:hAnsi="Verdana"/>
          <w:color w:val="262626" w:themeColor="text1" w:themeTint="D9"/>
          <w:sz w:val="20"/>
          <w:szCs w:val="20"/>
          <w:lang w:val="en-GB" w:eastAsia="en-US"/>
        </w:rPr>
        <w:t xml:space="preserve">be </w:t>
      </w:r>
      <w:r w:rsidR="009E534A" w:rsidRPr="00C57D4B">
        <w:rPr>
          <w:rFonts w:ascii="Verdana" w:eastAsia="Times New Roman" w:hAnsi="Verdana"/>
          <w:color w:val="262626" w:themeColor="text1" w:themeTint="D9"/>
          <w:sz w:val="20"/>
          <w:szCs w:val="20"/>
          <w:lang w:val="en-GB" w:eastAsia="en-US"/>
        </w:rPr>
        <w:t>revenue for the industry</w:t>
      </w:r>
      <w:r w:rsidR="000A4F4B" w:rsidRPr="00C57D4B">
        <w:rPr>
          <w:rFonts w:ascii="Verdana" w:eastAsia="Times New Roman" w:hAnsi="Verdana"/>
          <w:color w:val="262626" w:themeColor="text1" w:themeTint="D9"/>
          <w:sz w:val="20"/>
          <w:szCs w:val="20"/>
          <w:lang w:val="en-GB" w:eastAsia="en-US"/>
        </w:rPr>
        <w:t>, which also supplies most of the 22</w:t>
      </w:r>
      <w:r w:rsidR="00FB1DCB">
        <w:rPr>
          <w:rFonts w:ascii="Verdana" w:eastAsia="Times New Roman" w:hAnsi="Verdana"/>
          <w:color w:val="262626" w:themeColor="text1" w:themeTint="D9"/>
          <w:sz w:val="20"/>
          <w:szCs w:val="20"/>
          <w:lang w:val="en-GB" w:eastAsia="en-US"/>
        </w:rPr>
        <w:t> 000</w:t>
      </w:r>
      <w:r w:rsidR="000A4F4B" w:rsidRPr="00C57D4B">
        <w:rPr>
          <w:rFonts w:ascii="Verdana" w:eastAsia="Times New Roman" w:hAnsi="Verdana"/>
          <w:color w:val="262626" w:themeColor="text1" w:themeTint="D9"/>
          <w:sz w:val="20"/>
          <w:szCs w:val="20"/>
          <w:lang w:val="en-GB" w:eastAsia="en-US"/>
        </w:rPr>
        <w:t>-24</w:t>
      </w:r>
      <w:r w:rsidR="00FB1DCB">
        <w:rPr>
          <w:rFonts w:ascii="Verdana" w:eastAsia="Times New Roman" w:hAnsi="Verdana"/>
          <w:color w:val="262626" w:themeColor="text1" w:themeTint="D9"/>
          <w:sz w:val="20"/>
          <w:szCs w:val="20"/>
          <w:lang w:val="en-GB" w:eastAsia="en-US"/>
        </w:rPr>
        <w:t> </w:t>
      </w:r>
      <w:r w:rsidR="000A4F4B" w:rsidRPr="00C57D4B">
        <w:rPr>
          <w:rFonts w:ascii="Verdana" w:eastAsia="Times New Roman" w:hAnsi="Verdana"/>
          <w:color w:val="262626" w:themeColor="text1" w:themeTint="D9"/>
          <w:sz w:val="20"/>
          <w:szCs w:val="20"/>
          <w:lang w:val="en-GB" w:eastAsia="en-US"/>
        </w:rPr>
        <w:t xml:space="preserve">000 direct jobs related to this </w:t>
      </w:r>
      <w:r w:rsidR="00F37E5C" w:rsidRPr="00C57D4B">
        <w:rPr>
          <w:rFonts w:ascii="Verdana" w:eastAsia="Times New Roman" w:hAnsi="Verdana"/>
          <w:color w:val="262626" w:themeColor="text1" w:themeTint="D9"/>
          <w:sz w:val="20"/>
          <w:szCs w:val="20"/>
          <w:lang w:val="en-GB" w:eastAsia="en-US"/>
        </w:rPr>
        <w:t>sector</w:t>
      </w:r>
      <w:r w:rsidR="000A4F4B" w:rsidRPr="00C57D4B">
        <w:rPr>
          <w:rFonts w:ascii="Verdana" w:eastAsia="Times New Roman" w:hAnsi="Verdana"/>
          <w:color w:val="262626" w:themeColor="text1" w:themeTint="D9"/>
          <w:sz w:val="20"/>
          <w:szCs w:val="20"/>
          <w:lang w:val="en-GB" w:eastAsia="en-US"/>
        </w:rPr>
        <w:t>.</w:t>
      </w:r>
      <w:r w:rsidR="001116BC" w:rsidRPr="00C57D4B">
        <w:rPr>
          <w:rFonts w:ascii="Verdana" w:eastAsia="Times New Roman" w:hAnsi="Verdana"/>
          <w:color w:val="262626" w:themeColor="text1" w:themeTint="D9"/>
          <w:sz w:val="20"/>
          <w:szCs w:val="20"/>
          <w:lang w:val="en-GB" w:eastAsia="en-US"/>
        </w:rPr>
        <w:t xml:space="preserve"> </w:t>
      </w:r>
      <w:r w:rsidR="006E78C4" w:rsidRPr="00C57D4B">
        <w:rPr>
          <w:rFonts w:ascii="Verdana" w:eastAsia="Times New Roman" w:hAnsi="Verdana"/>
          <w:color w:val="262626" w:themeColor="text1" w:themeTint="D9"/>
          <w:sz w:val="20"/>
          <w:szCs w:val="20"/>
          <w:lang w:val="en-GB" w:eastAsia="en-US"/>
        </w:rPr>
        <w:t xml:space="preserve">According to EIA, </w:t>
      </w:r>
      <w:r w:rsidR="001116BC" w:rsidRPr="00C57D4B">
        <w:rPr>
          <w:rFonts w:ascii="Verdana" w:eastAsia="Times New Roman" w:hAnsi="Verdana"/>
          <w:color w:val="262626" w:themeColor="text1" w:themeTint="D9"/>
          <w:sz w:val="20"/>
          <w:szCs w:val="20"/>
          <w:lang w:val="en-GB" w:eastAsia="en-US"/>
        </w:rPr>
        <w:t>the</w:t>
      </w:r>
      <w:r w:rsidR="006E78C4" w:rsidRPr="00C57D4B">
        <w:rPr>
          <w:rFonts w:ascii="Verdana" w:eastAsia="Times New Roman" w:hAnsi="Verdana"/>
          <w:color w:val="262626" w:themeColor="text1" w:themeTint="D9"/>
          <w:sz w:val="20"/>
          <w:szCs w:val="20"/>
          <w:lang w:val="en-GB" w:eastAsia="en-US"/>
        </w:rPr>
        <w:t xml:space="preserve"> 2020</w:t>
      </w:r>
      <w:r w:rsidR="001116BC" w:rsidRPr="00C57D4B">
        <w:rPr>
          <w:rFonts w:ascii="Verdana" w:eastAsia="Times New Roman" w:hAnsi="Verdana"/>
          <w:color w:val="262626" w:themeColor="text1" w:themeTint="D9"/>
          <w:sz w:val="20"/>
          <w:szCs w:val="20"/>
          <w:lang w:val="en-GB" w:eastAsia="en-US"/>
        </w:rPr>
        <w:t xml:space="preserve"> EU </w:t>
      </w:r>
      <w:r w:rsidR="006E78C4" w:rsidRPr="00C57D4B">
        <w:rPr>
          <w:rFonts w:ascii="Verdana" w:eastAsia="Times New Roman" w:hAnsi="Verdana"/>
          <w:color w:val="262626" w:themeColor="text1" w:themeTint="D9"/>
          <w:sz w:val="20"/>
          <w:szCs w:val="20"/>
          <w:lang w:val="en-GB" w:eastAsia="en-US"/>
        </w:rPr>
        <w:t>market for products in scope included 327</w:t>
      </w:r>
      <w:r w:rsidR="00FB1DCB">
        <w:rPr>
          <w:rFonts w:ascii="Verdana" w:eastAsia="Times New Roman" w:hAnsi="Verdana"/>
          <w:color w:val="262626" w:themeColor="text1" w:themeTint="D9"/>
          <w:sz w:val="20"/>
          <w:szCs w:val="20"/>
          <w:lang w:val="en-GB" w:eastAsia="en-US"/>
        </w:rPr>
        <w:t> 000</w:t>
      </w:r>
      <w:r w:rsidR="006E78C4" w:rsidRPr="00C57D4B">
        <w:rPr>
          <w:rFonts w:ascii="Verdana" w:eastAsia="Times New Roman" w:hAnsi="Verdana"/>
          <w:color w:val="262626" w:themeColor="text1" w:themeTint="D9"/>
          <w:sz w:val="20"/>
          <w:szCs w:val="20"/>
          <w:lang w:val="en-GB" w:eastAsia="en-US"/>
        </w:rPr>
        <w:t xml:space="preserve"> </w:t>
      </w:r>
      <w:r w:rsidR="001116BC" w:rsidRPr="00C57D4B">
        <w:rPr>
          <w:rFonts w:ascii="Verdana" w:eastAsia="Times New Roman" w:hAnsi="Verdana"/>
          <w:color w:val="262626" w:themeColor="text1" w:themeTint="D9"/>
          <w:sz w:val="20"/>
          <w:szCs w:val="20"/>
          <w:lang w:val="en-GB" w:eastAsia="en-US"/>
        </w:rPr>
        <w:t>refrigerat</w:t>
      </w:r>
      <w:r w:rsidR="006E78C4" w:rsidRPr="00C57D4B">
        <w:rPr>
          <w:rFonts w:ascii="Verdana" w:eastAsia="Times New Roman" w:hAnsi="Verdana"/>
          <w:color w:val="262626" w:themeColor="text1" w:themeTint="D9"/>
          <w:sz w:val="20"/>
          <w:szCs w:val="20"/>
          <w:lang w:val="en-GB" w:eastAsia="en-US"/>
        </w:rPr>
        <w:t>ed</w:t>
      </w:r>
      <w:r w:rsidR="001116BC" w:rsidRPr="00C57D4B">
        <w:rPr>
          <w:rFonts w:ascii="Verdana" w:eastAsia="Times New Roman" w:hAnsi="Verdana"/>
          <w:color w:val="262626" w:themeColor="text1" w:themeTint="D9"/>
          <w:sz w:val="20"/>
          <w:szCs w:val="20"/>
          <w:lang w:val="en-GB" w:eastAsia="en-US"/>
        </w:rPr>
        <w:t xml:space="preserve"> </w:t>
      </w:r>
      <w:r w:rsidR="00FB1DCB">
        <w:rPr>
          <w:rFonts w:ascii="Verdana" w:eastAsia="Times New Roman" w:hAnsi="Verdana"/>
          <w:color w:val="262626" w:themeColor="text1" w:themeTint="D9"/>
          <w:sz w:val="20"/>
          <w:szCs w:val="20"/>
          <w:lang w:val="en-GB" w:eastAsia="en-US"/>
        </w:rPr>
        <w:t xml:space="preserve">storage </w:t>
      </w:r>
      <w:r w:rsidR="001116BC" w:rsidRPr="00C57D4B">
        <w:rPr>
          <w:rFonts w:ascii="Verdana" w:eastAsia="Times New Roman" w:hAnsi="Verdana"/>
          <w:color w:val="262626" w:themeColor="text1" w:themeTint="D9"/>
          <w:sz w:val="20"/>
          <w:szCs w:val="20"/>
          <w:lang w:val="en-GB" w:eastAsia="en-US"/>
        </w:rPr>
        <w:t>cabinets</w:t>
      </w:r>
      <w:r w:rsidR="006E78C4" w:rsidRPr="00C57D4B">
        <w:rPr>
          <w:rFonts w:ascii="Verdana" w:eastAsia="Times New Roman" w:hAnsi="Verdana"/>
          <w:color w:val="262626" w:themeColor="text1" w:themeTint="D9"/>
          <w:sz w:val="20"/>
          <w:szCs w:val="20"/>
          <w:lang w:val="en-GB" w:eastAsia="en-US"/>
        </w:rPr>
        <w:t>, 253</w:t>
      </w:r>
      <w:r w:rsidR="00FB1DCB">
        <w:rPr>
          <w:rFonts w:ascii="Arial" w:eastAsia="Times New Roman" w:hAnsi="Arial" w:cs="Arial"/>
          <w:color w:val="262626" w:themeColor="text1" w:themeTint="D9"/>
          <w:sz w:val="20"/>
          <w:szCs w:val="20"/>
          <w:lang w:val="en-GB" w:eastAsia="en-US"/>
        </w:rPr>
        <w:t> </w:t>
      </w:r>
      <w:r w:rsidR="00FB1DCB">
        <w:rPr>
          <w:rFonts w:ascii="Verdana" w:eastAsia="Times New Roman" w:hAnsi="Verdana"/>
          <w:color w:val="262626" w:themeColor="text1" w:themeTint="D9"/>
          <w:sz w:val="20"/>
          <w:szCs w:val="20"/>
          <w:lang w:val="en-GB" w:eastAsia="en-US"/>
        </w:rPr>
        <w:t>000</w:t>
      </w:r>
      <w:r w:rsidR="006E78C4" w:rsidRPr="00C57D4B">
        <w:rPr>
          <w:rFonts w:ascii="Verdana" w:eastAsia="Times New Roman" w:hAnsi="Verdana"/>
          <w:color w:val="262626" w:themeColor="text1" w:themeTint="D9"/>
          <w:sz w:val="20"/>
          <w:szCs w:val="20"/>
          <w:lang w:val="en-GB" w:eastAsia="en-US"/>
        </w:rPr>
        <w:t xml:space="preserve"> condensing units and 7</w:t>
      </w:r>
      <w:r w:rsidR="00FB1DCB">
        <w:rPr>
          <w:rFonts w:ascii="Verdana" w:eastAsia="Times New Roman" w:hAnsi="Verdana"/>
          <w:color w:val="262626" w:themeColor="text1" w:themeTint="D9"/>
          <w:sz w:val="20"/>
          <w:szCs w:val="20"/>
          <w:lang w:val="en-GB" w:eastAsia="en-US"/>
        </w:rPr>
        <w:t> 000</w:t>
      </w:r>
      <w:r w:rsidR="006E78C4" w:rsidRPr="00C57D4B">
        <w:rPr>
          <w:rFonts w:ascii="Verdana" w:eastAsia="Times New Roman" w:hAnsi="Verdana"/>
          <w:color w:val="262626" w:themeColor="text1" w:themeTint="D9"/>
          <w:sz w:val="20"/>
          <w:szCs w:val="20"/>
          <w:lang w:val="en-GB" w:eastAsia="en-US"/>
        </w:rPr>
        <w:t xml:space="preserve"> process chillers. </w:t>
      </w:r>
      <w:r w:rsidR="001116BC" w:rsidRPr="00C57D4B">
        <w:rPr>
          <w:rFonts w:ascii="Verdana" w:eastAsia="Times New Roman" w:hAnsi="Verdana"/>
          <w:color w:val="262626" w:themeColor="text1" w:themeTint="D9"/>
          <w:sz w:val="20"/>
          <w:szCs w:val="20"/>
          <w:lang w:val="en-GB" w:eastAsia="en-US"/>
        </w:rPr>
        <w:t xml:space="preserve"> Main producers </w:t>
      </w:r>
      <w:r w:rsidR="006E78C4" w:rsidRPr="00C57D4B">
        <w:rPr>
          <w:rFonts w:ascii="Verdana" w:eastAsia="Times New Roman" w:hAnsi="Verdana"/>
          <w:color w:val="262626" w:themeColor="text1" w:themeTint="D9"/>
          <w:sz w:val="20"/>
          <w:szCs w:val="20"/>
          <w:lang w:val="en-GB" w:eastAsia="en-US"/>
        </w:rPr>
        <w:t xml:space="preserve">of </w:t>
      </w:r>
      <w:r w:rsidR="00FB1DCB" w:rsidRPr="00C57D4B">
        <w:rPr>
          <w:rFonts w:ascii="Verdana" w:eastAsia="Times New Roman" w:hAnsi="Verdana"/>
          <w:color w:val="262626" w:themeColor="text1" w:themeTint="D9"/>
          <w:sz w:val="20"/>
          <w:szCs w:val="20"/>
          <w:lang w:val="en-GB" w:eastAsia="en-US"/>
        </w:rPr>
        <w:t xml:space="preserve">refrigerated </w:t>
      </w:r>
      <w:r w:rsidR="00FB1DCB">
        <w:rPr>
          <w:rFonts w:ascii="Verdana" w:eastAsia="Times New Roman" w:hAnsi="Verdana"/>
          <w:color w:val="262626" w:themeColor="text1" w:themeTint="D9"/>
          <w:sz w:val="20"/>
          <w:szCs w:val="20"/>
          <w:lang w:val="en-GB" w:eastAsia="en-US"/>
        </w:rPr>
        <w:t xml:space="preserve">storage </w:t>
      </w:r>
      <w:r w:rsidR="006E78C4" w:rsidRPr="00C57D4B">
        <w:rPr>
          <w:rFonts w:ascii="Verdana" w:eastAsia="Times New Roman" w:hAnsi="Verdana"/>
          <w:color w:val="262626" w:themeColor="text1" w:themeTint="D9"/>
          <w:sz w:val="20"/>
          <w:szCs w:val="20"/>
          <w:lang w:val="en-GB" w:eastAsia="en-US"/>
        </w:rPr>
        <w:t xml:space="preserve">cabinets </w:t>
      </w:r>
      <w:r w:rsidR="001116BC" w:rsidRPr="00C57D4B">
        <w:rPr>
          <w:rFonts w:ascii="Verdana" w:eastAsia="Times New Roman" w:hAnsi="Verdana"/>
          <w:color w:val="262626" w:themeColor="text1" w:themeTint="D9"/>
          <w:sz w:val="20"/>
          <w:szCs w:val="20"/>
          <w:lang w:val="en-GB" w:eastAsia="en-US"/>
        </w:rPr>
        <w:t>are in France, Germany and Italy</w:t>
      </w:r>
      <w:r w:rsidR="00063EE3" w:rsidRPr="00C57D4B">
        <w:rPr>
          <w:rFonts w:ascii="Verdana" w:eastAsia="Times New Roman" w:hAnsi="Verdana"/>
          <w:color w:val="262626" w:themeColor="text1" w:themeTint="D9"/>
          <w:sz w:val="20"/>
          <w:szCs w:val="20"/>
          <w:lang w:val="en-GB" w:eastAsia="en-US"/>
        </w:rPr>
        <w:t xml:space="preserve">. The </w:t>
      </w:r>
      <w:r w:rsidR="00FB1DCB">
        <w:rPr>
          <w:rFonts w:ascii="Verdana" w:eastAsia="Times New Roman" w:hAnsi="Verdana"/>
          <w:color w:val="262626" w:themeColor="text1" w:themeTint="D9"/>
          <w:sz w:val="20"/>
          <w:szCs w:val="20"/>
          <w:lang w:val="en-GB" w:eastAsia="en-US"/>
        </w:rPr>
        <w:t>e</w:t>
      </w:r>
      <w:r w:rsidR="00063EE3" w:rsidRPr="00C57D4B">
        <w:rPr>
          <w:rFonts w:ascii="Verdana" w:eastAsia="Times New Roman" w:hAnsi="Verdana"/>
          <w:color w:val="262626" w:themeColor="text1" w:themeTint="D9"/>
          <w:sz w:val="20"/>
          <w:szCs w:val="20"/>
          <w:lang w:val="en-GB" w:eastAsia="en-US"/>
        </w:rPr>
        <w:t xml:space="preserve">xtra-EU trade </w:t>
      </w:r>
      <w:proofErr w:type="gramStart"/>
      <w:r w:rsidR="00063EE3" w:rsidRPr="00C57D4B">
        <w:rPr>
          <w:rFonts w:ascii="Verdana" w:eastAsia="Times New Roman" w:hAnsi="Verdana"/>
          <w:color w:val="262626" w:themeColor="text1" w:themeTint="D9"/>
          <w:sz w:val="20"/>
          <w:szCs w:val="20"/>
          <w:lang w:val="en-GB" w:eastAsia="en-US"/>
        </w:rPr>
        <w:t>is more or less balanced</w:t>
      </w:r>
      <w:proofErr w:type="gramEnd"/>
      <w:r w:rsidR="00063EE3" w:rsidRPr="00C57D4B">
        <w:rPr>
          <w:rFonts w:ascii="Verdana" w:eastAsia="Times New Roman" w:hAnsi="Verdana"/>
          <w:color w:val="262626" w:themeColor="text1" w:themeTint="D9"/>
          <w:sz w:val="20"/>
          <w:szCs w:val="20"/>
          <w:lang w:val="en-GB" w:eastAsia="en-US"/>
        </w:rPr>
        <w:t xml:space="preserve"> between imports and exports </w:t>
      </w:r>
      <w:r w:rsidR="003F39A6" w:rsidRPr="00C57D4B">
        <w:rPr>
          <w:rFonts w:ascii="Verdana" w:eastAsia="Times New Roman" w:hAnsi="Verdana"/>
          <w:color w:val="262626" w:themeColor="text1" w:themeTint="D9"/>
          <w:sz w:val="20"/>
          <w:szCs w:val="20"/>
          <w:lang w:val="en-GB" w:eastAsia="en-US"/>
        </w:rPr>
        <w:t>in terms</w:t>
      </w:r>
      <w:r w:rsidR="00063EE3" w:rsidRPr="00C57D4B">
        <w:rPr>
          <w:rFonts w:ascii="Verdana" w:eastAsia="Times New Roman" w:hAnsi="Verdana"/>
          <w:color w:val="262626" w:themeColor="text1" w:themeTint="D9"/>
          <w:sz w:val="20"/>
          <w:szCs w:val="20"/>
          <w:lang w:val="en-GB" w:eastAsia="en-US"/>
        </w:rPr>
        <w:t xml:space="preserve"> of units sold, but the value of EU exports </w:t>
      </w:r>
      <w:r w:rsidR="005F7E45" w:rsidRPr="00C57D4B">
        <w:rPr>
          <w:rFonts w:ascii="Verdana" w:eastAsia="Times New Roman" w:hAnsi="Verdana"/>
          <w:color w:val="262626" w:themeColor="text1" w:themeTint="D9"/>
          <w:sz w:val="20"/>
          <w:szCs w:val="20"/>
          <w:lang w:val="en-GB" w:eastAsia="en-US"/>
        </w:rPr>
        <w:t xml:space="preserve">in 2018 </w:t>
      </w:r>
      <w:r w:rsidR="00063EE3" w:rsidRPr="00C57D4B">
        <w:rPr>
          <w:rFonts w:ascii="Verdana" w:eastAsia="Times New Roman" w:hAnsi="Verdana"/>
          <w:color w:val="262626" w:themeColor="text1" w:themeTint="D9"/>
          <w:sz w:val="20"/>
          <w:szCs w:val="20"/>
          <w:lang w:val="en-GB" w:eastAsia="en-US"/>
        </w:rPr>
        <w:t xml:space="preserve">is twice as high as </w:t>
      </w:r>
      <w:r w:rsidR="001A00A2" w:rsidRPr="00C57D4B">
        <w:rPr>
          <w:rFonts w:ascii="Verdana" w:eastAsia="Times New Roman" w:hAnsi="Verdana"/>
          <w:color w:val="262626" w:themeColor="text1" w:themeTint="D9"/>
          <w:sz w:val="20"/>
          <w:szCs w:val="20"/>
          <w:lang w:val="en-GB" w:eastAsia="en-US"/>
        </w:rPr>
        <w:t xml:space="preserve">that of </w:t>
      </w:r>
      <w:r w:rsidR="00063EE3" w:rsidRPr="00C57D4B">
        <w:rPr>
          <w:rFonts w:ascii="Verdana" w:eastAsia="Times New Roman" w:hAnsi="Verdana"/>
          <w:color w:val="262626" w:themeColor="text1" w:themeTint="D9"/>
          <w:sz w:val="20"/>
          <w:szCs w:val="20"/>
          <w:lang w:val="en-GB" w:eastAsia="en-US"/>
        </w:rPr>
        <w:t>the imports</w:t>
      </w:r>
      <w:r w:rsidR="00063EE3" w:rsidRPr="00C57D4B">
        <w:rPr>
          <w:rStyle w:val="FootnoteReference"/>
          <w:rFonts w:ascii="Verdana" w:eastAsia="Times New Roman" w:hAnsi="Verdana"/>
          <w:color w:val="262626" w:themeColor="text1" w:themeTint="D9"/>
          <w:lang w:val="en-GB" w:eastAsia="en-US"/>
        </w:rPr>
        <w:footnoteReference w:id="18"/>
      </w:r>
      <w:r w:rsidR="00FB1DCB">
        <w:rPr>
          <w:rFonts w:ascii="Verdana" w:eastAsia="Times New Roman" w:hAnsi="Verdana"/>
          <w:color w:val="262626" w:themeColor="text1" w:themeTint="D9"/>
          <w:sz w:val="20"/>
          <w:szCs w:val="20"/>
          <w:lang w:val="en-GB" w:eastAsia="en-US"/>
        </w:rPr>
        <w:t>.</w:t>
      </w:r>
    </w:p>
    <w:p w14:paraId="71677FD2" w14:textId="5011937E" w:rsidR="001116BC" w:rsidRPr="00C57D4B" w:rsidRDefault="001116BC" w:rsidP="00C57D4B">
      <w:pPr>
        <w:pStyle w:val="NormalWeb"/>
        <w:shd w:val="clear" w:color="auto" w:fill="FFFFFF"/>
        <w:spacing w:before="0" w:beforeAutospacing="0" w:after="0" w:afterAutospacing="0" w:line="293" w:lineRule="atLeast"/>
        <w:jc w:val="both"/>
        <w:rPr>
          <w:rFonts w:ascii="Verdana" w:eastAsia="Times New Roman" w:hAnsi="Verdana"/>
          <w:color w:val="262626" w:themeColor="text1" w:themeTint="D9"/>
          <w:sz w:val="20"/>
          <w:szCs w:val="20"/>
          <w:lang w:val="en-GB" w:eastAsia="en-US"/>
        </w:rPr>
      </w:pPr>
    </w:p>
    <w:p w14:paraId="3E03314C" w14:textId="03BC33DA" w:rsidR="009B70E5" w:rsidRPr="00C57D4B" w:rsidRDefault="009B70E5" w:rsidP="00657386">
      <w:pPr>
        <w:spacing w:line="276" w:lineRule="auto"/>
        <w:rPr>
          <w:rFonts w:ascii="Verdana" w:hAnsi="Verdana" w:cstheme="minorHAnsi"/>
          <w:color w:val="262626" w:themeColor="text1" w:themeTint="D9"/>
          <w:sz w:val="20"/>
        </w:rPr>
      </w:pPr>
      <w:r w:rsidRPr="00C57D4B">
        <w:rPr>
          <w:rFonts w:ascii="Verdana" w:hAnsi="Verdana" w:cstheme="minorHAnsi"/>
          <w:color w:val="262626" w:themeColor="text1" w:themeTint="D9"/>
          <w:sz w:val="20"/>
        </w:rPr>
        <w:t xml:space="preserve">The products in scope are regulated across the globe: Minimum Energy Performance Standards (MEPS) and endorsement labels (e.g. Energy Star) for professional refrigeration appliances exist in the USA &amp; Mexico (Energy Star, MEPS), Asia (China, Thailand, </w:t>
      </w:r>
      <w:proofErr w:type="gramStart"/>
      <w:r w:rsidRPr="00C57D4B">
        <w:rPr>
          <w:rFonts w:ascii="Verdana" w:hAnsi="Verdana" w:cstheme="minorHAnsi"/>
          <w:color w:val="262626" w:themeColor="text1" w:themeTint="D9"/>
          <w:sz w:val="20"/>
        </w:rPr>
        <w:t>Vietnam</w:t>
      </w:r>
      <w:proofErr w:type="gramEnd"/>
      <w:r w:rsidRPr="00C57D4B">
        <w:rPr>
          <w:rFonts w:ascii="Verdana" w:hAnsi="Verdana" w:cstheme="minorHAnsi"/>
          <w:color w:val="262626" w:themeColor="text1" w:themeTint="D9"/>
          <w:sz w:val="20"/>
        </w:rPr>
        <w:t xml:space="preserve">), </w:t>
      </w:r>
      <w:r w:rsidR="00FB1DCB">
        <w:rPr>
          <w:rFonts w:ascii="Verdana" w:hAnsi="Verdana" w:cstheme="minorHAnsi"/>
          <w:color w:val="262626" w:themeColor="text1" w:themeTint="D9"/>
          <w:sz w:val="20"/>
        </w:rPr>
        <w:t>Middle-East</w:t>
      </w:r>
      <w:r w:rsidR="00FB1DCB" w:rsidRPr="00C57D4B">
        <w:rPr>
          <w:rFonts w:ascii="Verdana" w:hAnsi="Verdana" w:cstheme="minorHAnsi"/>
          <w:color w:val="262626" w:themeColor="text1" w:themeTint="D9"/>
          <w:sz w:val="20"/>
        </w:rPr>
        <w:t xml:space="preserve"> </w:t>
      </w:r>
      <w:r w:rsidRPr="00C57D4B">
        <w:rPr>
          <w:rFonts w:ascii="Verdana" w:hAnsi="Verdana" w:cstheme="minorHAnsi"/>
          <w:color w:val="262626" w:themeColor="text1" w:themeTint="D9"/>
          <w:sz w:val="20"/>
        </w:rPr>
        <w:t>(Iran), Australia</w:t>
      </w:r>
      <w:r w:rsidR="00FB1DCB">
        <w:rPr>
          <w:rFonts w:ascii="Verdana" w:hAnsi="Verdana" w:cstheme="minorHAnsi"/>
          <w:color w:val="262626" w:themeColor="text1" w:themeTint="D9"/>
          <w:sz w:val="20"/>
        </w:rPr>
        <w:t xml:space="preserve"> and</w:t>
      </w:r>
      <w:r w:rsidRPr="00C57D4B">
        <w:rPr>
          <w:rFonts w:ascii="Verdana" w:hAnsi="Verdana" w:cstheme="minorHAnsi"/>
          <w:color w:val="262626" w:themeColor="text1" w:themeTint="D9"/>
          <w:sz w:val="20"/>
        </w:rPr>
        <w:t xml:space="preserve"> </w:t>
      </w:r>
      <w:r w:rsidR="00FB1DCB">
        <w:rPr>
          <w:rFonts w:ascii="Verdana" w:hAnsi="Verdana" w:cstheme="minorHAnsi"/>
          <w:color w:val="262626" w:themeColor="text1" w:themeTint="D9"/>
          <w:sz w:val="20"/>
        </w:rPr>
        <w:t xml:space="preserve">Latin </w:t>
      </w:r>
      <w:r w:rsidRPr="00C57D4B">
        <w:rPr>
          <w:rFonts w:ascii="Verdana" w:hAnsi="Verdana" w:cstheme="minorHAnsi"/>
          <w:color w:val="262626" w:themeColor="text1" w:themeTint="D9"/>
          <w:sz w:val="20"/>
        </w:rPr>
        <w:t xml:space="preserve">America (Nicaragua, El Salvador). </w:t>
      </w:r>
    </w:p>
    <w:p w14:paraId="6E45B237" w14:textId="7086B5F3" w:rsidR="008B2814" w:rsidRPr="00C57D4B" w:rsidRDefault="009B70E5" w:rsidP="00CE3DEA">
      <w:pPr>
        <w:pStyle w:val="Heading2"/>
        <w:tabs>
          <w:tab w:val="clear" w:pos="1712"/>
        </w:tabs>
      </w:pPr>
      <w:r w:rsidRPr="00C57D4B">
        <w:t>Standardisation aspects</w:t>
      </w:r>
    </w:p>
    <w:p w14:paraId="3F7D4FAD" w14:textId="6409C668" w:rsidR="008B2814" w:rsidRPr="00CE3DEA" w:rsidRDefault="00422F4F" w:rsidP="00CE3DEA">
      <w:pPr>
        <w:spacing w:line="276" w:lineRule="auto"/>
        <w:rPr>
          <w:rFonts w:ascii="Verdana" w:hAnsi="Verdana" w:cstheme="minorHAnsi"/>
          <w:color w:val="262626" w:themeColor="text1" w:themeTint="D9"/>
          <w:sz w:val="20"/>
        </w:rPr>
      </w:pPr>
      <w:r w:rsidRPr="00CE3DEA">
        <w:rPr>
          <w:rFonts w:ascii="Verdana" w:hAnsi="Verdana" w:cstheme="minorHAnsi"/>
          <w:color w:val="262626" w:themeColor="text1" w:themeTint="D9"/>
          <w:sz w:val="20"/>
        </w:rPr>
        <w:t xml:space="preserve">In 2013, the </w:t>
      </w:r>
      <w:r w:rsidR="008B2814" w:rsidRPr="00CE3DEA">
        <w:rPr>
          <w:rFonts w:ascii="Verdana" w:hAnsi="Verdana" w:cstheme="minorHAnsi"/>
          <w:color w:val="262626" w:themeColor="text1" w:themeTint="D9"/>
          <w:sz w:val="20"/>
        </w:rPr>
        <w:t xml:space="preserve">Commission published standardisation request </w:t>
      </w:r>
      <w:r w:rsidR="00440E62" w:rsidRPr="00CE3DEA">
        <w:rPr>
          <w:rFonts w:ascii="Verdana" w:hAnsi="Verdana" w:cstheme="minorHAnsi"/>
          <w:color w:val="262626" w:themeColor="text1" w:themeTint="D9"/>
          <w:sz w:val="20"/>
        </w:rPr>
        <w:t>M/495 am.1</w:t>
      </w:r>
      <w:r w:rsidR="00440E62" w:rsidRPr="00CE3DEA">
        <w:rPr>
          <w:rFonts w:ascii="Verdana" w:hAnsi="Verdana" w:cstheme="minorHAnsi"/>
          <w:color w:val="262626" w:themeColor="text1" w:themeTint="D9"/>
          <w:sz w:val="20"/>
          <w:vertAlign w:val="superscript"/>
        </w:rPr>
        <w:footnoteReference w:id="19"/>
      </w:r>
      <w:r w:rsidR="00440E62" w:rsidRPr="00CE3DEA">
        <w:rPr>
          <w:rFonts w:ascii="Verdana" w:hAnsi="Verdana" w:cstheme="minorHAnsi"/>
          <w:color w:val="262626" w:themeColor="text1" w:themeTint="D9"/>
          <w:sz w:val="20"/>
        </w:rPr>
        <w:t xml:space="preserve"> </w:t>
      </w:r>
      <w:r w:rsidR="008B2814" w:rsidRPr="00CE3DEA">
        <w:rPr>
          <w:rFonts w:ascii="Verdana" w:hAnsi="Verdana" w:cstheme="minorHAnsi"/>
          <w:color w:val="262626" w:themeColor="text1" w:themeTint="D9"/>
          <w:sz w:val="20"/>
        </w:rPr>
        <w:t xml:space="preserve">for professional </w:t>
      </w:r>
      <w:proofErr w:type="gramStart"/>
      <w:r w:rsidR="008B2814" w:rsidRPr="00CE3DEA">
        <w:rPr>
          <w:rFonts w:ascii="Verdana" w:hAnsi="Verdana" w:cstheme="minorHAnsi"/>
          <w:color w:val="262626" w:themeColor="text1" w:themeTint="D9"/>
          <w:sz w:val="20"/>
        </w:rPr>
        <w:t>refrigeration ,</w:t>
      </w:r>
      <w:proofErr w:type="gramEnd"/>
      <w:r w:rsidR="008B2814" w:rsidRPr="00CE3DEA">
        <w:rPr>
          <w:rFonts w:ascii="Verdana" w:hAnsi="Verdana" w:cstheme="minorHAnsi"/>
          <w:color w:val="262626" w:themeColor="text1" w:themeTint="D9"/>
          <w:sz w:val="20"/>
        </w:rPr>
        <w:t xml:space="preserve"> which aims to create a harmonised standard (or standards) which cover(s) the requirements of Regulations 2015/1094 and 2015/1095.</w:t>
      </w:r>
    </w:p>
    <w:p w14:paraId="45668440" w14:textId="76081240" w:rsidR="008B2814" w:rsidRPr="000042F0" w:rsidRDefault="008B2814" w:rsidP="00CE3DEA">
      <w:pPr>
        <w:spacing w:line="276" w:lineRule="auto"/>
        <w:rPr>
          <w:rFonts w:ascii="Verdana" w:hAnsi="Verdana" w:cstheme="minorHAnsi"/>
          <w:color w:val="262626" w:themeColor="text1" w:themeTint="D9"/>
          <w:sz w:val="20"/>
        </w:rPr>
      </w:pPr>
      <w:r w:rsidRPr="00CE3DEA">
        <w:rPr>
          <w:rFonts w:ascii="Verdana" w:hAnsi="Verdana" w:cstheme="minorHAnsi"/>
          <w:color w:val="262626" w:themeColor="text1" w:themeTint="D9"/>
          <w:sz w:val="20"/>
        </w:rPr>
        <w:t>Product groups covered by the mandate</w:t>
      </w:r>
      <w:r w:rsidR="00440E62" w:rsidRPr="00CE3DEA">
        <w:rPr>
          <w:rFonts w:ascii="Verdana" w:hAnsi="Verdana" w:cstheme="minorHAnsi"/>
          <w:color w:val="262626" w:themeColor="text1" w:themeTint="D9"/>
          <w:sz w:val="20"/>
        </w:rPr>
        <w:t xml:space="preserve"> are</w:t>
      </w:r>
      <w:r w:rsidRPr="00CE3DEA">
        <w:rPr>
          <w:rFonts w:ascii="Verdana" w:hAnsi="Verdana" w:cstheme="minorHAnsi"/>
          <w:color w:val="262626" w:themeColor="text1" w:themeTint="D9"/>
          <w:sz w:val="20"/>
        </w:rPr>
        <w:t xml:space="preserve"> professional storage cabinets, blast cabinets, walk-in cold rooms, chillers and remote condensing units. This scope is broader than </w:t>
      </w:r>
      <w:r w:rsidR="00440E62" w:rsidRPr="00CE3DEA">
        <w:rPr>
          <w:rFonts w:ascii="Verdana" w:hAnsi="Verdana" w:cstheme="minorHAnsi"/>
          <w:color w:val="262626" w:themeColor="text1" w:themeTint="D9"/>
          <w:sz w:val="20"/>
        </w:rPr>
        <w:t xml:space="preserve">that of </w:t>
      </w:r>
      <w:r w:rsidRPr="00CE3DEA">
        <w:rPr>
          <w:rFonts w:ascii="Verdana" w:hAnsi="Verdana" w:cstheme="minorHAnsi"/>
          <w:color w:val="262626" w:themeColor="text1" w:themeTint="D9"/>
          <w:sz w:val="20"/>
        </w:rPr>
        <w:t>the current regulations</w:t>
      </w:r>
      <w:r w:rsidR="00440E62" w:rsidRPr="00CE3DEA">
        <w:rPr>
          <w:rFonts w:ascii="Verdana" w:hAnsi="Verdana" w:cstheme="minorHAnsi"/>
          <w:color w:val="262626" w:themeColor="text1" w:themeTint="D9"/>
          <w:sz w:val="20"/>
        </w:rPr>
        <w:t>,</w:t>
      </w:r>
      <w:r w:rsidRPr="00CE3DEA">
        <w:rPr>
          <w:rFonts w:ascii="Verdana" w:hAnsi="Verdana" w:cstheme="minorHAnsi"/>
          <w:color w:val="262626" w:themeColor="text1" w:themeTint="D9"/>
          <w:sz w:val="20"/>
        </w:rPr>
        <w:t xml:space="preserve"> which has an advantage that it could be used in future </w:t>
      </w:r>
      <w:r w:rsidRPr="000042F0">
        <w:rPr>
          <w:rFonts w:ascii="Verdana" w:hAnsi="Verdana" w:cstheme="minorHAnsi"/>
          <w:color w:val="262626" w:themeColor="text1" w:themeTint="D9"/>
          <w:sz w:val="20"/>
        </w:rPr>
        <w:t xml:space="preserve">developments of harmonised standards (if the scope </w:t>
      </w:r>
      <w:r w:rsidR="00440E62" w:rsidRPr="000042F0">
        <w:rPr>
          <w:rFonts w:ascii="Verdana" w:hAnsi="Verdana" w:cstheme="minorHAnsi"/>
          <w:color w:val="262626" w:themeColor="text1" w:themeTint="D9"/>
          <w:sz w:val="20"/>
        </w:rPr>
        <w:t xml:space="preserve">of the regulations </w:t>
      </w:r>
      <w:proofErr w:type="gramStart"/>
      <w:r w:rsidRPr="000042F0">
        <w:rPr>
          <w:rFonts w:ascii="Verdana" w:hAnsi="Verdana" w:cstheme="minorHAnsi"/>
          <w:color w:val="262626" w:themeColor="text1" w:themeTint="D9"/>
          <w:sz w:val="20"/>
        </w:rPr>
        <w:t>is broadened</w:t>
      </w:r>
      <w:proofErr w:type="gramEnd"/>
      <w:r w:rsidRPr="000042F0">
        <w:rPr>
          <w:rFonts w:ascii="Verdana" w:hAnsi="Verdana" w:cstheme="minorHAnsi"/>
          <w:color w:val="262626" w:themeColor="text1" w:themeTint="D9"/>
          <w:sz w:val="20"/>
        </w:rPr>
        <w:t xml:space="preserve">). </w:t>
      </w:r>
    </w:p>
    <w:p w14:paraId="306E2B6D" w14:textId="580DCBF6" w:rsidR="008B2814" w:rsidRPr="000042F0" w:rsidRDefault="008B2814" w:rsidP="00CE3DEA">
      <w:pPr>
        <w:spacing w:line="276" w:lineRule="auto"/>
        <w:rPr>
          <w:rFonts w:ascii="Verdana" w:hAnsi="Verdana"/>
          <w:color w:val="262626" w:themeColor="text1" w:themeTint="D9"/>
          <w:sz w:val="20"/>
        </w:rPr>
      </w:pPr>
      <w:r w:rsidRPr="000042F0">
        <w:rPr>
          <w:rFonts w:ascii="Verdana" w:hAnsi="Verdana"/>
          <w:color w:val="262626" w:themeColor="text1" w:themeTint="D9"/>
          <w:sz w:val="20"/>
        </w:rPr>
        <w:t>The working groups responsible for the professional refrigeration</w:t>
      </w:r>
      <w:r w:rsidR="000042F0">
        <w:rPr>
          <w:rFonts w:ascii="Verdana" w:hAnsi="Verdana"/>
          <w:color w:val="262626" w:themeColor="text1" w:themeTint="D9"/>
          <w:sz w:val="20"/>
        </w:rPr>
        <w:t xml:space="preserve"> storage</w:t>
      </w:r>
      <w:r w:rsidRPr="000042F0">
        <w:rPr>
          <w:rFonts w:ascii="Verdana" w:hAnsi="Verdana"/>
          <w:color w:val="262626" w:themeColor="text1" w:themeTint="D9"/>
          <w:sz w:val="20"/>
        </w:rPr>
        <w:t xml:space="preserve"> </w:t>
      </w:r>
      <w:r w:rsidR="00657386" w:rsidRPr="000042F0">
        <w:rPr>
          <w:rFonts w:ascii="Verdana" w:hAnsi="Verdana"/>
          <w:color w:val="262626" w:themeColor="text1" w:themeTint="D9"/>
          <w:sz w:val="20"/>
        </w:rPr>
        <w:t>cabinets</w:t>
      </w:r>
      <w:r w:rsidRPr="000042F0">
        <w:rPr>
          <w:rFonts w:ascii="Verdana" w:hAnsi="Verdana"/>
          <w:color w:val="262626" w:themeColor="text1" w:themeTint="D9"/>
          <w:sz w:val="20"/>
        </w:rPr>
        <w:t xml:space="preserve"> </w:t>
      </w:r>
      <w:r w:rsidR="000042F0">
        <w:rPr>
          <w:rFonts w:ascii="Verdana" w:hAnsi="Verdana"/>
          <w:color w:val="262626" w:themeColor="text1" w:themeTint="D9"/>
          <w:sz w:val="20"/>
        </w:rPr>
        <w:t>and blas</w:t>
      </w:r>
      <w:r w:rsidR="00E450CF">
        <w:rPr>
          <w:rFonts w:ascii="Verdana" w:hAnsi="Verdana"/>
          <w:color w:val="262626" w:themeColor="text1" w:themeTint="D9"/>
          <w:sz w:val="20"/>
        </w:rPr>
        <w:t>t</w:t>
      </w:r>
      <w:r w:rsidR="000042F0">
        <w:rPr>
          <w:rFonts w:ascii="Verdana" w:hAnsi="Verdana"/>
          <w:color w:val="262626" w:themeColor="text1" w:themeTint="D9"/>
          <w:sz w:val="20"/>
        </w:rPr>
        <w:t xml:space="preserve"> cabinets </w:t>
      </w:r>
      <w:r w:rsidRPr="000042F0">
        <w:rPr>
          <w:rFonts w:ascii="Verdana" w:hAnsi="Verdana"/>
          <w:color w:val="262626" w:themeColor="text1" w:themeTint="D9"/>
          <w:sz w:val="20"/>
        </w:rPr>
        <w:t xml:space="preserve">are under CEN TC 44, with specific WGs and their standards and related products groups identified in </w:t>
      </w:r>
      <w:r w:rsidR="000A39CD" w:rsidRPr="000042F0">
        <w:rPr>
          <w:rFonts w:ascii="Verdana" w:hAnsi="Verdana"/>
          <w:color w:val="262626" w:themeColor="text1" w:themeTint="D9"/>
          <w:sz w:val="20"/>
        </w:rPr>
        <w:t>the table below.</w:t>
      </w:r>
    </w:p>
    <w:p w14:paraId="0D84D110" w14:textId="77777777" w:rsidR="008B2814" w:rsidRPr="00C57D4B" w:rsidRDefault="008B2814" w:rsidP="008B2814">
      <w:pPr>
        <w:tabs>
          <w:tab w:val="left" w:pos="851"/>
        </w:tabs>
        <w:spacing w:after="0"/>
        <w:jc w:val="left"/>
        <w:rPr>
          <w:rFonts w:cs="Arial"/>
          <w:b/>
          <w:bCs/>
          <w:color w:val="262626" w:themeColor="text1" w:themeTint="D9"/>
          <w:sz w:val="18"/>
        </w:rPr>
      </w:pPr>
    </w:p>
    <w:p w14:paraId="25688F50" w14:textId="71D9BC8E" w:rsidR="000A39CD" w:rsidRPr="00AA24C0" w:rsidRDefault="000A39CD" w:rsidP="00CE3DEA">
      <w:pPr>
        <w:pStyle w:val="Caption"/>
        <w:keepNext/>
        <w:jc w:val="left"/>
        <w:rPr>
          <w:rFonts w:ascii="Verdana" w:hAnsi="Verdana"/>
          <w:sz w:val="18"/>
          <w:szCs w:val="18"/>
        </w:rPr>
      </w:pPr>
      <w:r w:rsidRPr="00AA24C0">
        <w:rPr>
          <w:rFonts w:ascii="Verdana" w:hAnsi="Verdana"/>
          <w:sz w:val="18"/>
          <w:szCs w:val="18"/>
        </w:rPr>
        <w:t xml:space="preserve">Table </w:t>
      </w:r>
      <w:r w:rsidRPr="00AA24C0">
        <w:rPr>
          <w:rFonts w:ascii="Verdana" w:hAnsi="Verdana"/>
          <w:sz w:val="18"/>
          <w:szCs w:val="18"/>
        </w:rPr>
        <w:fldChar w:fldCharType="begin"/>
      </w:r>
      <w:r w:rsidRPr="00AA24C0">
        <w:rPr>
          <w:rFonts w:ascii="Verdana" w:hAnsi="Verdana"/>
          <w:sz w:val="18"/>
          <w:szCs w:val="18"/>
        </w:rPr>
        <w:instrText xml:space="preserve"> SEQ Table \* ARABIC </w:instrText>
      </w:r>
      <w:r w:rsidRPr="00AA24C0">
        <w:rPr>
          <w:rFonts w:ascii="Verdana" w:hAnsi="Verdana"/>
          <w:sz w:val="18"/>
          <w:szCs w:val="18"/>
        </w:rPr>
        <w:fldChar w:fldCharType="separate"/>
      </w:r>
      <w:r w:rsidRPr="00AA24C0">
        <w:rPr>
          <w:rFonts w:ascii="Verdana" w:hAnsi="Verdana"/>
          <w:noProof/>
          <w:sz w:val="18"/>
          <w:szCs w:val="18"/>
        </w:rPr>
        <w:t>1</w:t>
      </w:r>
      <w:r w:rsidRPr="00AA24C0">
        <w:rPr>
          <w:rFonts w:ascii="Verdana" w:hAnsi="Verdana"/>
          <w:sz w:val="18"/>
          <w:szCs w:val="18"/>
        </w:rPr>
        <w:fldChar w:fldCharType="end"/>
      </w:r>
      <w:r w:rsidRPr="00AA24C0">
        <w:rPr>
          <w:rFonts w:ascii="Verdana" w:hAnsi="Verdana"/>
          <w:sz w:val="18"/>
          <w:szCs w:val="18"/>
        </w:rPr>
        <w:t>: Standardisation Working Groups under CEN that cover standards for professional refrigeration equipment.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1"/>
        <w:gridCol w:w="2440"/>
        <w:gridCol w:w="3545"/>
        <w:gridCol w:w="1650"/>
      </w:tblGrid>
      <w:tr w:rsidR="00657386" w:rsidRPr="00657386" w14:paraId="7B505449" w14:textId="77777777" w:rsidTr="00225C56">
        <w:trPr>
          <w:cnfStyle w:val="100000000000" w:firstRow="1" w:lastRow="0" w:firstColumn="0" w:lastColumn="0" w:oddVBand="0" w:evenVBand="0" w:oddHBand="0" w:evenHBand="0" w:firstRowFirstColumn="0" w:firstRowLastColumn="0" w:lastRowFirstColumn="0" w:lastRowLastColumn="0"/>
          <w:trHeight w:val="288"/>
        </w:trPr>
        <w:tc>
          <w:tcPr>
            <w:tcW w:w="1381" w:type="dxa"/>
            <w:shd w:val="clear" w:color="auto" w:fill="auto"/>
            <w:hideMark/>
          </w:tcPr>
          <w:p w14:paraId="48B3CCFC" w14:textId="77777777" w:rsidR="008B2814" w:rsidRPr="00CE3DEA" w:rsidRDefault="008B2814" w:rsidP="003301F6">
            <w:pPr>
              <w:jc w:val="center"/>
              <w:rPr>
                <w:b/>
                <w:bCs/>
                <w:color w:val="262626" w:themeColor="text1" w:themeTint="D9"/>
                <w:sz w:val="18"/>
                <w:szCs w:val="18"/>
              </w:rPr>
            </w:pPr>
            <w:r w:rsidRPr="000A39CD">
              <w:rPr>
                <w:b/>
                <w:bCs/>
                <w:color w:val="262626" w:themeColor="text1" w:themeTint="D9"/>
                <w:sz w:val="18"/>
                <w:szCs w:val="18"/>
              </w:rPr>
              <w:t>Working group</w:t>
            </w:r>
          </w:p>
        </w:tc>
        <w:tc>
          <w:tcPr>
            <w:tcW w:w="2440" w:type="dxa"/>
            <w:shd w:val="clear" w:color="auto" w:fill="auto"/>
            <w:hideMark/>
          </w:tcPr>
          <w:p w14:paraId="34CBBAE3" w14:textId="77777777" w:rsidR="008B2814" w:rsidRPr="00CE3DEA" w:rsidRDefault="008B2814" w:rsidP="003301F6">
            <w:pPr>
              <w:jc w:val="center"/>
              <w:rPr>
                <w:b/>
                <w:bCs/>
                <w:color w:val="262626" w:themeColor="text1" w:themeTint="D9"/>
                <w:sz w:val="18"/>
                <w:szCs w:val="18"/>
              </w:rPr>
            </w:pPr>
            <w:r w:rsidRPr="00CE3DEA">
              <w:rPr>
                <w:b/>
                <w:bCs/>
                <w:color w:val="262626" w:themeColor="text1" w:themeTint="D9"/>
                <w:sz w:val="18"/>
                <w:szCs w:val="18"/>
              </w:rPr>
              <w:t>Title</w:t>
            </w:r>
          </w:p>
        </w:tc>
        <w:tc>
          <w:tcPr>
            <w:tcW w:w="3545" w:type="dxa"/>
            <w:shd w:val="clear" w:color="auto" w:fill="auto"/>
            <w:noWrap/>
            <w:hideMark/>
          </w:tcPr>
          <w:p w14:paraId="06CD5A0E" w14:textId="77777777" w:rsidR="008B2814" w:rsidRPr="00CE3DEA" w:rsidRDefault="008B2814" w:rsidP="003301F6">
            <w:pPr>
              <w:jc w:val="center"/>
              <w:rPr>
                <w:b/>
                <w:bCs/>
                <w:color w:val="262626" w:themeColor="text1" w:themeTint="D9"/>
                <w:sz w:val="18"/>
                <w:szCs w:val="18"/>
              </w:rPr>
            </w:pPr>
            <w:r w:rsidRPr="00CE3DEA">
              <w:rPr>
                <w:b/>
                <w:bCs/>
                <w:color w:val="262626" w:themeColor="text1" w:themeTint="D9"/>
                <w:sz w:val="18"/>
                <w:szCs w:val="18"/>
              </w:rPr>
              <w:t>Standards</w:t>
            </w:r>
          </w:p>
        </w:tc>
        <w:tc>
          <w:tcPr>
            <w:tcW w:w="1650" w:type="dxa"/>
            <w:shd w:val="clear" w:color="auto" w:fill="auto"/>
          </w:tcPr>
          <w:p w14:paraId="0F04786C" w14:textId="77777777" w:rsidR="008B2814" w:rsidRPr="00CE3DEA" w:rsidRDefault="008B2814" w:rsidP="003301F6">
            <w:pPr>
              <w:jc w:val="center"/>
              <w:rPr>
                <w:b/>
                <w:bCs/>
                <w:color w:val="262626" w:themeColor="text1" w:themeTint="D9"/>
                <w:sz w:val="18"/>
                <w:szCs w:val="18"/>
              </w:rPr>
            </w:pPr>
            <w:r w:rsidRPr="00CE3DEA">
              <w:rPr>
                <w:b/>
                <w:bCs/>
                <w:color w:val="262626" w:themeColor="text1" w:themeTint="D9"/>
                <w:sz w:val="18"/>
                <w:szCs w:val="18"/>
              </w:rPr>
              <w:t>Product group</w:t>
            </w:r>
          </w:p>
        </w:tc>
      </w:tr>
      <w:tr w:rsidR="00657386" w:rsidRPr="00657386" w14:paraId="194410D1" w14:textId="77777777" w:rsidTr="00DC03EF">
        <w:trPr>
          <w:trHeight w:val="288"/>
        </w:trPr>
        <w:tc>
          <w:tcPr>
            <w:tcW w:w="1381" w:type="dxa"/>
            <w:shd w:val="clear" w:color="auto" w:fill="auto"/>
            <w:noWrap/>
            <w:vAlign w:val="center"/>
            <w:hideMark/>
          </w:tcPr>
          <w:p w14:paraId="5CAE50E7" w14:textId="77777777" w:rsidR="008B2814" w:rsidRPr="00CE3DEA" w:rsidRDefault="008B2814" w:rsidP="00DC03EF">
            <w:pPr>
              <w:jc w:val="left"/>
              <w:rPr>
                <w:color w:val="262626" w:themeColor="text1" w:themeTint="D9"/>
                <w:sz w:val="18"/>
                <w:szCs w:val="18"/>
              </w:rPr>
            </w:pPr>
            <w:r w:rsidRPr="00CE3DEA">
              <w:rPr>
                <w:color w:val="262626" w:themeColor="text1" w:themeTint="D9"/>
                <w:sz w:val="18"/>
                <w:szCs w:val="18"/>
              </w:rPr>
              <w:t>CEN TC 44 WG 2</w:t>
            </w:r>
          </w:p>
        </w:tc>
        <w:tc>
          <w:tcPr>
            <w:tcW w:w="2440" w:type="dxa"/>
            <w:shd w:val="clear" w:color="auto" w:fill="auto"/>
            <w:vAlign w:val="center"/>
            <w:hideMark/>
          </w:tcPr>
          <w:p w14:paraId="266283CA" w14:textId="77777777" w:rsidR="008B2814" w:rsidRPr="00CE3DEA" w:rsidRDefault="008B2814" w:rsidP="00DC03EF">
            <w:pPr>
              <w:jc w:val="left"/>
              <w:rPr>
                <w:color w:val="262626" w:themeColor="text1" w:themeTint="D9"/>
                <w:sz w:val="18"/>
                <w:szCs w:val="18"/>
              </w:rPr>
            </w:pPr>
            <w:r w:rsidRPr="00CE3DEA">
              <w:rPr>
                <w:color w:val="262626" w:themeColor="text1" w:themeTint="D9"/>
                <w:sz w:val="18"/>
                <w:szCs w:val="18"/>
              </w:rPr>
              <w:t>Service refrigerated cabinets and counters for use in commercial kitchens</w:t>
            </w:r>
          </w:p>
        </w:tc>
        <w:tc>
          <w:tcPr>
            <w:tcW w:w="3545" w:type="dxa"/>
            <w:shd w:val="clear" w:color="auto" w:fill="auto"/>
            <w:noWrap/>
            <w:vAlign w:val="center"/>
            <w:hideMark/>
          </w:tcPr>
          <w:p w14:paraId="5C70DCE9" w14:textId="6E65B1FF" w:rsidR="008E3BEA" w:rsidRPr="00CE3DEA" w:rsidRDefault="008B2814" w:rsidP="00C57D4B">
            <w:pPr>
              <w:spacing w:before="240"/>
              <w:jc w:val="left"/>
              <w:rPr>
                <w:color w:val="262626" w:themeColor="text1" w:themeTint="D9"/>
                <w:sz w:val="18"/>
                <w:szCs w:val="18"/>
                <w:lang w:val="nl-NL"/>
              </w:rPr>
            </w:pPr>
            <w:r w:rsidRPr="00CE3DEA">
              <w:rPr>
                <w:color w:val="262626" w:themeColor="text1" w:themeTint="D9"/>
                <w:sz w:val="18"/>
                <w:szCs w:val="18"/>
                <w:lang w:val="nl-NL"/>
              </w:rPr>
              <w:t>EN ISO 22042</w:t>
            </w:r>
            <w:r w:rsidR="00160BB1">
              <w:rPr>
                <w:color w:val="262626" w:themeColor="text1" w:themeTint="D9"/>
                <w:sz w:val="18"/>
                <w:szCs w:val="18"/>
                <w:lang w:val="nl-NL"/>
              </w:rPr>
              <w:t>:2021</w:t>
            </w:r>
            <w:r w:rsidR="008E3BEA" w:rsidRPr="00CE3DEA">
              <w:rPr>
                <w:rStyle w:val="FootnoteReference"/>
                <w:color w:val="262626" w:themeColor="text1" w:themeTint="D9"/>
                <w:sz w:val="18"/>
                <w:szCs w:val="18"/>
                <w:lang w:val="nl-NL"/>
              </w:rPr>
              <w:footnoteReference w:id="20"/>
            </w:r>
            <w:r w:rsidRPr="00CE3DEA">
              <w:rPr>
                <w:color w:val="262626" w:themeColor="text1" w:themeTint="D9"/>
                <w:sz w:val="18"/>
                <w:szCs w:val="18"/>
                <w:lang w:val="nl-NL"/>
              </w:rPr>
              <w:t xml:space="preserve">; </w:t>
            </w:r>
          </w:p>
          <w:p w14:paraId="73BEFAC7" w14:textId="6268AB16" w:rsidR="008E3BEA" w:rsidRPr="00CE3DEA" w:rsidRDefault="008B2814" w:rsidP="00DC03EF">
            <w:pPr>
              <w:jc w:val="left"/>
              <w:rPr>
                <w:color w:val="262626" w:themeColor="text1" w:themeTint="D9"/>
                <w:sz w:val="18"/>
                <w:szCs w:val="18"/>
                <w:lang w:val="nl-NL"/>
              </w:rPr>
            </w:pPr>
            <w:r w:rsidRPr="00CE3DEA">
              <w:rPr>
                <w:color w:val="262626" w:themeColor="text1" w:themeTint="D9"/>
                <w:sz w:val="18"/>
                <w:szCs w:val="18"/>
                <w:lang w:val="nl-NL"/>
              </w:rPr>
              <w:t>EN 17032:2018/A1:2019</w:t>
            </w:r>
            <w:r w:rsidR="008E3BEA" w:rsidRPr="00CE3DEA">
              <w:rPr>
                <w:rStyle w:val="FootnoteReference"/>
                <w:color w:val="262626" w:themeColor="text1" w:themeTint="D9"/>
                <w:sz w:val="18"/>
                <w:szCs w:val="18"/>
                <w:lang w:val="nl-NL"/>
              </w:rPr>
              <w:footnoteReference w:id="21"/>
            </w:r>
            <w:r w:rsidRPr="00CE3DEA">
              <w:rPr>
                <w:color w:val="262626" w:themeColor="text1" w:themeTint="D9"/>
                <w:sz w:val="18"/>
                <w:szCs w:val="18"/>
                <w:lang w:val="nl-NL"/>
              </w:rPr>
              <w:t xml:space="preserve">; </w:t>
            </w:r>
          </w:p>
          <w:p w14:paraId="2C669601" w14:textId="35F7853B" w:rsidR="008B2814" w:rsidRPr="00CE3DEA" w:rsidRDefault="008B2814" w:rsidP="00DC03EF">
            <w:pPr>
              <w:jc w:val="left"/>
              <w:rPr>
                <w:color w:val="262626" w:themeColor="text1" w:themeTint="D9"/>
                <w:sz w:val="18"/>
                <w:szCs w:val="18"/>
                <w:lang w:val="nl-NL"/>
              </w:rPr>
            </w:pPr>
            <w:r w:rsidRPr="00CE3DEA">
              <w:rPr>
                <w:color w:val="262626" w:themeColor="text1" w:themeTint="D9"/>
                <w:sz w:val="18"/>
                <w:szCs w:val="18"/>
                <w:lang w:val="nl-NL"/>
              </w:rPr>
              <w:lastRenderedPageBreak/>
              <w:t>EN ISO 22041:2019</w:t>
            </w:r>
            <w:r w:rsidR="008E3BEA" w:rsidRPr="00CE3DEA">
              <w:rPr>
                <w:rStyle w:val="FootnoteReference"/>
                <w:color w:val="262626" w:themeColor="text1" w:themeTint="D9"/>
                <w:sz w:val="18"/>
                <w:szCs w:val="18"/>
                <w:lang w:val="nl-NL"/>
              </w:rPr>
              <w:footnoteReference w:id="22"/>
            </w:r>
          </w:p>
        </w:tc>
        <w:tc>
          <w:tcPr>
            <w:tcW w:w="1650" w:type="dxa"/>
            <w:shd w:val="clear" w:color="auto" w:fill="auto"/>
            <w:vAlign w:val="center"/>
          </w:tcPr>
          <w:p w14:paraId="5E42D7A4" w14:textId="01DC57EE" w:rsidR="008B2814" w:rsidRPr="00CE3DEA" w:rsidRDefault="008B2814" w:rsidP="00DC03EF">
            <w:pPr>
              <w:jc w:val="left"/>
              <w:rPr>
                <w:color w:val="262626" w:themeColor="text1" w:themeTint="D9"/>
                <w:sz w:val="18"/>
                <w:szCs w:val="18"/>
              </w:rPr>
            </w:pPr>
            <w:r w:rsidRPr="00CE3DEA">
              <w:rPr>
                <w:color w:val="262626" w:themeColor="text1" w:themeTint="D9"/>
                <w:sz w:val="18"/>
                <w:szCs w:val="18"/>
              </w:rPr>
              <w:lastRenderedPageBreak/>
              <w:t>Professional storage cabinets</w:t>
            </w:r>
            <w:r w:rsidR="00634581">
              <w:rPr>
                <w:color w:val="262626" w:themeColor="text1" w:themeTint="D9"/>
                <w:sz w:val="18"/>
                <w:szCs w:val="18"/>
              </w:rPr>
              <w:t xml:space="preserve"> and b</w:t>
            </w:r>
            <w:r w:rsidRPr="00CE3DEA">
              <w:rPr>
                <w:color w:val="262626" w:themeColor="text1" w:themeTint="D9"/>
                <w:sz w:val="18"/>
                <w:szCs w:val="18"/>
              </w:rPr>
              <w:t>last cabinets</w:t>
            </w:r>
          </w:p>
        </w:tc>
      </w:tr>
      <w:tr w:rsidR="00657386" w:rsidRPr="00657386" w14:paraId="6CCC1EAA" w14:textId="77777777" w:rsidTr="00DC03EF">
        <w:trPr>
          <w:trHeight w:val="288"/>
        </w:trPr>
        <w:tc>
          <w:tcPr>
            <w:tcW w:w="1381" w:type="dxa"/>
            <w:shd w:val="clear" w:color="auto" w:fill="auto"/>
            <w:noWrap/>
            <w:vAlign w:val="center"/>
            <w:hideMark/>
          </w:tcPr>
          <w:p w14:paraId="4CF9216F" w14:textId="77777777" w:rsidR="008B2814" w:rsidRPr="00CE3DEA" w:rsidRDefault="008B2814" w:rsidP="00C57D4B">
            <w:pPr>
              <w:spacing w:before="240"/>
              <w:jc w:val="left"/>
              <w:rPr>
                <w:color w:val="262626" w:themeColor="text1" w:themeTint="D9"/>
                <w:sz w:val="18"/>
                <w:szCs w:val="18"/>
              </w:rPr>
            </w:pPr>
            <w:r w:rsidRPr="00CE3DEA">
              <w:rPr>
                <w:color w:val="262626" w:themeColor="text1" w:themeTint="D9"/>
                <w:sz w:val="18"/>
                <w:szCs w:val="18"/>
              </w:rPr>
              <w:t>CEN TC 44 WG 4</w:t>
            </w:r>
          </w:p>
        </w:tc>
        <w:tc>
          <w:tcPr>
            <w:tcW w:w="2440" w:type="dxa"/>
            <w:shd w:val="clear" w:color="auto" w:fill="auto"/>
            <w:vAlign w:val="center"/>
            <w:hideMark/>
          </w:tcPr>
          <w:p w14:paraId="0C848BE6" w14:textId="77777777" w:rsidR="008B2814" w:rsidRPr="00CE3DEA" w:rsidRDefault="008B2814" w:rsidP="00DC03EF">
            <w:pPr>
              <w:jc w:val="left"/>
              <w:rPr>
                <w:color w:val="262626" w:themeColor="text1" w:themeTint="D9"/>
                <w:sz w:val="18"/>
                <w:szCs w:val="18"/>
              </w:rPr>
            </w:pPr>
            <w:r w:rsidRPr="00CE3DEA">
              <w:rPr>
                <w:color w:val="262626" w:themeColor="text1" w:themeTint="D9"/>
                <w:sz w:val="18"/>
                <w:szCs w:val="18"/>
              </w:rPr>
              <w:t>Walk-in cold rooms</w:t>
            </w:r>
          </w:p>
        </w:tc>
        <w:tc>
          <w:tcPr>
            <w:tcW w:w="3545" w:type="dxa"/>
            <w:shd w:val="clear" w:color="auto" w:fill="auto"/>
            <w:noWrap/>
            <w:vAlign w:val="center"/>
            <w:hideMark/>
          </w:tcPr>
          <w:p w14:paraId="53F7B199" w14:textId="77777777" w:rsidR="008B2814" w:rsidRPr="00CE3DEA" w:rsidRDefault="008B2814" w:rsidP="00DC03EF">
            <w:pPr>
              <w:jc w:val="left"/>
              <w:rPr>
                <w:color w:val="262626" w:themeColor="text1" w:themeTint="D9"/>
                <w:sz w:val="18"/>
                <w:szCs w:val="18"/>
              </w:rPr>
            </w:pPr>
            <w:r w:rsidRPr="00CE3DEA">
              <w:rPr>
                <w:color w:val="262626" w:themeColor="text1" w:themeTint="D9"/>
                <w:sz w:val="18"/>
                <w:szCs w:val="18"/>
              </w:rPr>
              <w:t xml:space="preserve">EN 16855-1:2017; EN 16855-2:2018  </w:t>
            </w:r>
          </w:p>
        </w:tc>
        <w:tc>
          <w:tcPr>
            <w:tcW w:w="1650" w:type="dxa"/>
            <w:shd w:val="clear" w:color="auto" w:fill="auto"/>
            <w:vAlign w:val="center"/>
          </w:tcPr>
          <w:p w14:paraId="60651984" w14:textId="77777777" w:rsidR="008B2814" w:rsidRPr="00CE3DEA" w:rsidRDefault="008B2814" w:rsidP="00DC03EF">
            <w:pPr>
              <w:jc w:val="left"/>
              <w:rPr>
                <w:color w:val="262626" w:themeColor="text1" w:themeTint="D9"/>
                <w:sz w:val="18"/>
                <w:szCs w:val="18"/>
              </w:rPr>
            </w:pPr>
            <w:r w:rsidRPr="00CE3DEA">
              <w:rPr>
                <w:color w:val="262626" w:themeColor="text1" w:themeTint="D9"/>
                <w:sz w:val="18"/>
                <w:szCs w:val="18"/>
              </w:rPr>
              <w:t>Walk-in cold rooms</w:t>
            </w:r>
            <w:r w:rsidRPr="00CE3DEA">
              <w:rPr>
                <w:color w:val="262626" w:themeColor="text1" w:themeTint="D9"/>
                <w:sz w:val="18"/>
                <w:szCs w:val="18"/>
              </w:rPr>
              <w:tab/>
            </w:r>
          </w:p>
        </w:tc>
      </w:tr>
      <w:tr w:rsidR="00657386" w:rsidRPr="00657386" w14:paraId="5243FADC" w14:textId="77777777" w:rsidTr="00DC03EF">
        <w:trPr>
          <w:trHeight w:val="288"/>
        </w:trPr>
        <w:tc>
          <w:tcPr>
            <w:tcW w:w="1381" w:type="dxa"/>
            <w:shd w:val="clear" w:color="auto" w:fill="auto"/>
            <w:noWrap/>
            <w:vAlign w:val="center"/>
            <w:hideMark/>
          </w:tcPr>
          <w:p w14:paraId="488D723C" w14:textId="77777777" w:rsidR="008B2814" w:rsidRPr="00CE3DEA" w:rsidRDefault="008B2814" w:rsidP="00DC03EF">
            <w:pPr>
              <w:jc w:val="left"/>
              <w:rPr>
                <w:color w:val="262626" w:themeColor="text1" w:themeTint="D9"/>
                <w:sz w:val="18"/>
                <w:szCs w:val="18"/>
              </w:rPr>
            </w:pPr>
            <w:r w:rsidRPr="00CE3DEA">
              <w:rPr>
                <w:color w:val="262626" w:themeColor="text1" w:themeTint="D9"/>
                <w:sz w:val="18"/>
                <w:szCs w:val="18"/>
              </w:rPr>
              <w:t>CEN TC 44 WG 7</w:t>
            </w:r>
          </w:p>
        </w:tc>
        <w:tc>
          <w:tcPr>
            <w:tcW w:w="2440" w:type="dxa"/>
            <w:shd w:val="clear" w:color="auto" w:fill="auto"/>
            <w:vAlign w:val="center"/>
            <w:hideMark/>
          </w:tcPr>
          <w:p w14:paraId="75644F7F" w14:textId="77777777" w:rsidR="008B2814" w:rsidRPr="00CE3DEA" w:rsidRDefault="008B2814" w:rsidP="00DC03EF">
            <w:pPr>
              <w:jc w:val="left"/>
              <w:rPr>
                <w:color w:val="262626" w:themeColor="text1" w:themeTint="D9"/>
                <w:sz w:val="18"/>
                <w:szCs w:val="18"/>
              </w:rPr>
            </w:pPr>
            <w:r w:rsidRPr="00CE3DEA">
              <w:rPr>
                <w:color w:val="262626" w:themeColor="text1" w:themeTint="D9"/>
                <w:sz w:val="18"/>
                <w:szCs w:val="18"/>
              </w:rPr>
              <w:t>Walk-in cold rooms packaged Refrigerating Units</w:t>
            </w:r>
          </w:p>
        </w:tc>
        <w:tc>
          <w:tcPr>
            <w:tcW w:w="3545" w:type="dxa"/>
            <w:shd w:val="clear" w:color="auto" w:fill="auto"/>
            <w:noWrap/>
            <w:vAlign w:val="center"/>
            <w:hideMark/>
          </w:tcPr>
          <w:p w14:paraId="244AA3F7" w14:textId="7D25F5A3" w:rsidR="008B2814" w:rsidRPr="00CE3DEA" w:rsidRDefault="008B2814" w:rsidP="00DC03EF">
            <w:pPr>
              <w:jc w:val="left"/>
              <w:rPr>
                <w:color w:val="262626" w:themeColor="text1" w:themeTint="D9"/>
                <w:sz w:val="18"/>
                <w:szCs w:val="18"/>
              </w:rPr>
            </w:pPr>
            <w:r w:rsidRPr="00CE3DEA">
              <w:rPr>
                <w:color w:val="262626" w:themeColor="text1" w:themeTint="D9"/>
                <w:sz w:val="18"/>
                <w:szCs w:val="18"/>
              </w:rPr>
              <w:t>EN 17432</w:t>
            </w:r>
            <w:r w:rsidR="000A39CD">
              <w:rPr>
                <w:color w:val="262626" w:themeColor="text1" w:themeTint="D9"/>
                <w:sz w:val="18"/>
                <w:szCs w:val="18"/>
              </w:rPr>
              <w:t>:2021</w:t>
            </w:r>
          </w:p>
        </w:tc>
        <w:tc>
          <w:tcPr>
            <w:tcW w:w="1650" w:type="dxa"/>
            <w:shd w:val="clear" w:color="auto" w:fill="auto"/>
            <w:vAlign w:val="center"/>
          </w:tcPr>
          <w:p w14:paraId="5E80F2B3" w14:textId="77777777" w:rsidR="008B2814" w:rsidRPr="00CE3DEA" w:rsidRDefault="008B2814" w:rsidP="00DC03EF">
            <w:pPr>
              <w:jc w:val="left"/>
              <w:rPr>
                <w:color w:val="262626" w:themeColor="text1" w:themeTint="D9"/>
                <w:sz w:val="18"/>
                <w:szCs w:val="18"/>
              </w:rPr>
            </w:pPr>
            <w:r w:rsidRPr="00CE3DEA">
              <w:rPr>
                <w:color w:val="262626" w:themeColor="text1" w:themeTint="D9"/>
                <w:sz w:val="18"/>
                <w:szCs w:val="18"/>
              </w:rPr>
              <w:t>Walk-in cold rooms</w:t>
            </w:r>
            <w:r w:rsidRPr="00CE3DEA">
              <w:rPr>
                <w:color w:val="262626" w:themeColor="text1" w:themeTint="D9"/>
                <w:sz w:val="18"/>
                <w:szCs w:val="18"/>
              </w:rPr>
              <w:tab/>
            </w:r>
          </w:p>
        </w:tc>
      </w:tr>
    </w:tbl>
    <w:p w14:paraId="53F886ED" w14:textId="77777777" w:rsidR="008B2814" w:rsidRPr="00C57D4B" w:rsidRDefault="008B2814" w:rsidP="008B2814">
      <w:pPr>
        <w:spacing w:after="0"/>
        <w:rPr>
          <w:rFonts w:ascii="Verdana" w:eastAsia="SimSun" w:hAnsi="Verdana"/>
          <w:color w:val="262626" w:themeColor="text1" w:themeTint="D9"/>
          <w:sz w:val="20"/>
          <w:lang w:bidi="en-US"/>
        </w:rPr>
      </w:pPr>
    </w:p>
    <w:p w14:paraId="4F903FF7" w14:textId="528E2788" w:rsidR="00634581" w:rsidRDefault="00491C3D" w:rsidP="00CE3DEA">
      <w:pPr>
        <w:spacing w:after="0" w:line="276" w:lineRule="auto"/>
        <w:rPr>
          <w:rFonts w:ascii="Verdana" w:hAnsi="Verdana" w:cstheme="minorHAnsi"/>
          <w:color w:val="262626" w:themeColor="text1" w:themeTint="D9"/>
          <w:sz w:val="20"/>
        </w:rPr>
      </w:pPr>
      <w:r w:rsidRPr="00C57D4B">
        <w:rPr>
          <w:rFonts w:ascii="Verdana" w:hAnsi="Verdana" w:cstheme="minorHAnsi"/>
          <w:color w:val="262626" w:themeColor="text1" w:themeTint="D9"/>
          <w:sz w:val="20"/>
        </w:rPr>
        <w:t>A</w:t>
      </w:r>
      <w:r w:rsidR="008E3BEA" w:rsidRPr="00C57D4B">
        <w:rPr>
          <w:rFonts w:ascii="Verdana" w:hAnsi="Verdana" w:cstheme="minorHAnsi"/>
          <w:color w:val="262626" w:themeColor="text1" w:themeTint="D9"/>
          <w:sz w:val="20"/>
        </w:rPr>
        <w:t xml:space="preserve"> relevant standard</w:t>
      </w:r>
      <w:r w:rsidRPr="00C57D4B">
        <w:rPr>
          <w:rFonts w:ascii="Verdana" w:hAnsi="Verdana" w:cstheme="minorHAnsi"/>
          <w:color w:val="262626" w:themeColor="text1" w:themeTint="D9"/>
          <w:sz w:val="20"/>
        </w:rPr>
        <w:t xml:space="preserve"> </w:t>
      </w:r>
      <w:r w:rsidR="00D64217" w:rsidRPr="00C57D4B">
        <w:rPr>
          <w:rFonts w:ascii="Verdana" w:hAnsi="Verdana" w:cstheme="minorHAnsi"/>
          <w:color w:val="262626" w:themeColor="text1" w:themeTint="D9"/>
          <w:sz w:val="20"/>
        </w:rPr>
        <w:t xml:space="preserve">for process chillers </w:t>
      </w:r>
      <w:r w:rsidRPr="00C57D4B">
        <w:rPr>
          <w:rFonts w:ascii="Verdana" w:hAnsi="Verdana" w:cstheme="minorHAnsi"/>
          <w:color w:val="262626" w:themeColor="text1" w:themeTint="D9"/>
          <w:sz w:val="20"/>
        </w:rPr>
        <w:t xml:space="preserve">is </w:t>
      </w:r>
      <w:r w:rsidR="00D64217" w:rsidRPr="00C57D4B">
        <w:rPr>
          <w:rFonts w:ascii="Verdana" w:hAnsi="Verdana" w:cstheme="minorHAnsi"/>
          <w:color w:val="262626" w:themeColor="text1" w:themeTint="D9"/>
          <w:sz w:val="20"/>
        </w:rPr>
        <w:t>EN 14825:20</w:t>
      </w:r>
      <w:r w:rsidR="00634581">
        <w:rPr>
          <w:rFonts w:ascii="Verdana" w:hAnsi="Verdana" w:cstheme="minorHAnsi"/>
          <w:color w:val="262626" w:themeColor="text1" w:themeTint="D9"/>
          <w:sz w:val="20"/>
        </w:rPr>
        <w:t>19</w:t>
      </w:r>
      <w:r w:rsidR="00D64217" w:rsidRPr="00C57D4B">
        <w:rPr>
          <w:rStyle w:val="FootnoteReference"/>
          <w:rFonts w:ascii="Verdana" w:hAnsi="Verdana" w:cstheme="minorHAnsi"/>
          <w:color w:val="262626" w:themeColor="text1" w:themeTint="D9"/>
        </w:rPr>
        <w:footnoteReference w:id="23"/>
      </w:r>
      <w:r w:rsidR="00634581">
        <w:rPr>
          <w:rFonts w:ascii="Verdana" w:hAnsi="Verdana" w:cstheme="minorHAnsi"/>
          <w:color w:val="262626" w:themeColor="text1" w:themeTint="D9"/>
          <w:sz w:val="20"/>
        </w:rPr>
        <w:t xml:space="preserve"> and the EN 14511-series</w:t>
      </w:r>
      <w:r w:rsidRPr="00C57D4B">
        <w:rPr>
          <w:rFonts w:ascii="Verdana" w:hAnsi="Verdana" w:cstheme="minorHAnsi"/>
          <w:color w:val="262626" w:themeColor="text1" w:themeTint="D9"/>
          <w:sz w:val="20"/>
        </w:rPr>
        <w:t xml:space="preserve">. </w:t>
      </w:r>
      <w:r w:rsidR="00634581">
        <w:rPr>
          <w:rFonts w:ascii="Verdana" w:hAnsi="Verdana" w:cstheme="minorHAnsi"/>
          <w:color w:val="262626" w:themeColor="text1" w:themeTint="D9"/>
          <w:sz w:val="20"/>
        </w:rPr>
        <w:t>For condensing units EN 13215:2016+A1:2020</w:t>
      </w:r>
      <w:r w:rsidR="00634581">
        <w:rPr>
          <w:rStyle w:val="FootnoteReference"/>
          <w:rFonts w:ascii="Verdana" w:hAnsi="Verdana" w:cstheme="minorHAnsi"/>
          <w:color w:val="262626" w:themeColor="text1" w:themeTint="D9"/>
        </w:rPr>
        <w:footnoteReference w:id="24"/>
      </w:r>
      <w:r w:rsidR="00634581">
        <w:rPr>
          <w:rFonts w:ascii="Verdana" w:hAnsi="Verdana" w:cstheme="minorHAnsi"/>
          <w:color w:val="262626" w:themeColor="text1" w:themeTint="D9"/>
          <w:sz w:val="20"/>
        </w:rPr>
        <w:t xml:space="preserve"> is a relevant standard. </w:t>
      </w:r>
    </w:p>
    <w:p w14:paraId="71B555A6" w14:textId="77777777" w:rsidR="00694D59" w:rsidRDefault="00694D59" w:rsidP="00694D59">
      <w:pPr>
        <w:spacing w:after="0" w:line="276" w:lineRule="auto"/>
        <w:rPr>
          <w:rFonts w:ascii="Verdana" w:hAnsi="Verdana" w:cstheme="minorHAnsi"/>
          <w:color w:val="262626" w:themeColor="text1" w:themeTint="D9"/>
          <w:sz w:val="20"/>
        </w:rPr>
      </w:pPr>
    </w:p>
    <w:p w14:paraId="427E4F3B" w14:textId="0046E6F8" w:rsidR="00694D59" w:rsidRDefault="00694D59" w:rsidP="00CE3DEA">
      <w:pPr>
        <w:spacing w:after="0" w:line="276" w:lineRule="auto"/>
        <w:rPr>
          <w:rFonts w:ascii="Verdana" w:eastAsia="SimSun" w:hAnsi="Verdana"/>
          <w:color w:val="262626" w:themeColor="text1" w:themeTint="D9"/>
          <w:sz w:val="20"/>
          <w:lang w:bidi="en-US"/>
        </w:rPr>
      </w:pPr>
      <w:r>
        <w:rPr>
          <w:rFonts w:ascii="Verdana" w:eastAsia="SimSun" w:hAnsi="Verdana"/>
          <w:color w:val="262626" w:themeColor="text1" w:themeTint="D9"/>
          <w:sz w:val="20"/>
          <w:lang w:bidi="en-US"/>
        </w:rPr>
        <w:t xml:space="preserve">Industry consensus seems to support use of the new German standard </w:t>
      </w:r>
      <w:r w:rsidRPr="002A5A26">
        <w:rPr>
          <w:rFonts w:ascii="Verdana" w:hAnsi="Verdana" w:cs="Segoe UI"/>
          <w:sz w:val="20"/>
        </w:rPr>
        <w:t>DIN 13277:202</w:t>
      </w:r>
      <w:r w:rsidR="00933471">
        <w:rPr>
          <w:rFonts w:ascii="Verdana" w:hAnsi="Verdana" w:cs="Segoe UI"/>
          <w:sz w:val="20"/>
        </w:rPr>
        <w:t>2</w:t>
      </w:r>
      <w:r w:rsidRPr="002A5A26">
        <w:rPr>
          <w:rFonts w:ascii="Verdana" w:hAnsi="Verdana" w:cs="Segoe UI"/>
          <w:sz w:val="20"/>
        </w:rPr>
        <w:t>-0</w:t>
      </w:r>
      <w:r w:rsidR="00933471">
        <w:rPr>
          <w:rFonts w:ascii="Verdana" w:hAnsi="Verdana" w:cs="Segoe UI"/>
          <w:sz w:val="20"/>
        </w:rPr>
        <w:t>5</w:t>
      </w:r>
      <w:r>
        <w:rPr>
          <w:rStyle w:val="FootnoteReference"/>
          <w:rFonts w:ascii="Verdana" w:hAnsi="Verdana" w:cs="Segoe UI"/>
        </w:rPr>
        <w:footnoteReference w:id="25"/>
      </w:r>
      <w:r>
        <w:rPr>
          <w:rFonts w:ascii="Verdana" w:hAnsi="Verdana" w:cs="Segoe UI"/>
          <w:sz w:val="20"/>
        </w:rPr>
        <w:t xml:space="preserve"> </w:t>
      </w:r>
      <w:r>
        <w:rPr>
          <w:rFonts w:ascii="Verdana" w:hAnsi="Verdana" w:cstheme="minorHAnsi"/>
          <w:color w:val="262626" w:themeColor="text1" w:themeTint="D9"/>
          <w:sz w:val="20"/>
        </w:rPr>
        <w:t>(</w:t>
      </w:r>
      <w:r w:rsidRPr="000042F0">
        <w:rPr>
          <w:rFonts w:ascii="Verdana" w:hAnsi="Verdana" w:cstheme="minorHAnsi"/>
          <w:color w:val="262626" w:themeColor="text1" w:themeTint="D9"/>
          <w:sz w:val="20"/>
        </w:rPr>
        <w:t xml:space="preserve">no candidate EU or international working group </w:t>
      </w:r>
      <w:r>
        <w:rPr>
          <w:rFonts w:ascii="Verdana" w:hAnsi="Verdana" w:cstheme="minorHAnsi"/>
          <w:color w:val="262626" w:themeColor="text1" w:themeTint="D9"/>
          <w:sz w:val="20"/>
        </w:rPr>
        <w:t xml:space="preserve">has </w:t>
      </w:r>
      <w:r w:rsidRPr="000042F0">
        <w:rPr>
          <w:rFonts w:ascii="Verdana" w:hAnsi="Verdana" w:cstheme="minorHAnsi"/>
          <w:color w:val="262626" w:themeColor="text1" w:themeTint="D9"/>
          <w:sz w:val="20"/>
        </w:rPr>
        <w:t>yet</w:t>
      </w:r>
      <w:r>
        <w:rPr>
          <w:rFonts w:ascii="Verdana" w:hAnsi="Verdana" w:cstheme="minorHAnsi"/>
          <w:color w:val="262626" w:themeColor="text1" w:themeTint="D9"/>
          <w:sz w:val="20"/>
        </w:rPr>
        <w:t xml:space="preserve"> been</w:t>
      </w:r>
      <w:r w:rsidRPr="000042F0">
        <w:rPr>
          <w:rFonts w:ascii="Verdana" w:hAnsi="Verdana" w:cstheme="minorHAnsi"/>
          <w:color w:val="262626" w:themeColor="text1" w:themeTint="D9"/>
          <w:sz w:val="20"/>
        </w:rPr>
        <w:t xml:space="preserve"> identified)</w:t>
      </w:r>
      <w:r>
        <w:rPr>
          <w:rFonts w:ascii="Verdana" w:hAnsi="Verdana" w:cstheme="minorHAnsi"/>
          <w:color w:val="262626" w:themeColor="text1" w:themeTint="D9"/>
          <w:sz w:val="20"/>
        </w:rPr>
        <w:t xml:space="preserve"> </w:t>
      </w:r>
      <w:r>
        <w:rPr>
          <w:rFonts w:ascii="Verdana" w:eastAsia="SimSun" w:hAnsi="Verdana"/>
          <w:color w:val="262626" w:themeColor="text1" w:themeTint="D9"/>
          <w:sz w:val="20"/>
          <w:lang w:bidi="en-US"/>
        </w:rPr>
        <w:t xml:space="preserve">for energy performance assessment of scientific and healthcare </w:t>
      </w:r>
      <w:r w:rsidR="00396092">
        <w:rPr>
          <w:rFonts w:ascii="Verdana" w:eastAsia="SimSun" w:hAnsi="Verdana"/>
          <w:color w:val="262626" w:themeColor="text1" w:themeTint="D9"/>
          <w:sz w:val="20"/>
          <w:lang w:bidi="en-US"/>
        </w:rPr>
        <w:t xml:space="preserve">refrigerated storage </w:t>
      </w:r>
      <w:r>
        <w:rPr>
          <w:rFonts w:ascii="Verdana" w:eastAsia="SimSun" w:hAnsi="Verdana"/>
          <w:color w:val="262626" w:themeColor="text1" w:themeTint="D9"/>
          <w:sz w:val="20"/>
          <w:lang w:bidi="en-US"/>
        </w:rPr>
        <w:t>cabinets, as this consolidates and updates several older standards. This single volume now gives comprehensive coverage for the appliances used in the sector and addresses some shortcomings of the older ENERGY STAR method. Two EU labs experienced in energy label and ecodesign testing of cooling equipment have started to use DIN 13277; their feedback suggests that further work is needed to make the underlying DIN 13277 methodology sufficiently robust for EU harmonisation. A route to its adoption at international level is not yet clear, but the global nature of this industry means that effort should focus on a single global standard subsequently (or in parallel) adopted for use in US, Japan, EU and other regions. All manufacturers consulted are supportive of this route and will work with authorities to achieve it.</w:t>
      </w:r>
    </w:p>
    <w:p w14:paraId="0845DDA1" w14:textId="77777777" w:rsidR="00694D59" w:rsidRDefault="00694D59" w:rsidP="00CE3DEA">
      <w:pPr>
        <w:spacing w:after="0" w:line="276" w:lineRule="auto"/>
        <w:rPr>
          <w:rFonts w:ascii="Verdana" w:hAnsi="Verdana" w:cstheme="minorHAnsi"/>
          <w:color w:val="262626" w:themeColor="text1" w:themeTint="D9"/>
          <w:sz w:val="20"/>
        </w:rPr>
      </w:pPr>
    </w:p>
    <w:p w14:paraId="62578266" w14:textId="45B0A9C3" w:rsidR="00491C3D" w:rsidRPr="00C57D4B" w:rsidRDefault="00694D59" w:rsidP="00C57D4B">
      <w:pPr>
        <w:spacing w:line="276" w:lineRule="auto"/>
        <w:rPr>
          <w:rFonts w:ascii="Verdana" w:hAnsi="Verdana" w:cstheme="minorHAnsi"/>
          <w:color w:val="262626" w:themeColor="text1" w:themeTint="D9"/>
          <w:sz w:val="20"/>
        </w:rPr>
      </w:pPr>
      <w:r w:rsidRPr="00C57D4B">
        <w:rPr>
          <w:rFonts w:ascii="Verdana" w:hAnsi="Verdana" w:cstheme="minorHAnsi"/>
          <w:color w:val="262626" w:themeColor="text1" w:themeTint="D9"/>
          <w:sz w:val="20"/>
        </w:rPr>
        <w:t>Standards for possible candidates in the scope are</w:t>
      </w:r>
      <w:r>
        <w:rPr>
          <w:rFonts w:ascii="Verdana" w:hAnsi="Verdana" w:cstheme="minorHAnsi"/>
          <w:color w:val="262626" w:themeColor="text1" w:themeTint="D9"/>
          <w:sz w:val="20"/>
        </w:rPr>
        <w:t xml:space="preserve"> </w:t>
      </w:r>
      <w:r w:rsidR="008E3BEA" w:rsidRPr="00C57D4B">
        <w:rPr>
          <w:rFonts w:ascii="Verdana" w:hAnsi="Verdana" w:cstheme="minorHAnsi"/>
          <w:color w:val="262626" w:themeColor="text1" w:themeTint="D9"/>
          <w:sz w:val="20"/>
        </w:rPr>
        <w:t>ISO 1496-2:2018</w:t>
      </w:r>
      <w:r w:rsidR="00D64217" w:rsidRPr="00C57D4B">
        <w:rPr>
          <w:rStyle w:val="FootnoteReference"/>
          <w:rFonts w:ascii="Verdana" w:hAnsi="Verdana" w:cstheme="minorHAnsi"/>
          <w:color w:val="262626" w:themeColor="text1" w:themeTint="D9"/>
        </w:rPr>
        <w:footnoteReference w:id="26"/>
      </w:r>
      <w:r w:rsidR="008E3BEA" w:rsidRPr="00C57D4B">
        <w:rPr>
          <w:rFonts w:ascii="Verdana" w:hAnsi="Verdana" w:cstheme="minorHAnsi"/>
          <w:color w:val="262626" w:themeColor="text1" w:themeTint="D9"/>
          <w:sz w:val="20"/>
        </w:rPr>
        <w:t xml:space="preserve"> and </w:t>
      </w:r>
      <w:r w:rsidR="00D64217" w:rsidRPr="00C57D4B">
        <w:rPr>
          <w:rFonts w:ascii="Verdana" w:hAnsi="Verdana" w:cstheme="minorHAnsi"/>
          <w:color w:val="262626" w:themeColor="text1" w:themeTint="D9"/>
          <w:sz w:val="20"/>
        </w:rPr>
        <w:t>ISO 668:2013</w:t>
      </w:r>
      <w:r w:rsidR="00D64217" w:rsidRPr="00C57D4B">
        <w:rPr>
          <w:rStyle w:val="FootnoteReference"/>
          <w:rFonts w:ascii="Verdana" w:hAnsi="Verdana" w:cstheme="minorHAnsi"/>
          <w:color w:val="262626" w:themeColor="text1" w:themeTint="D9"/>
        </w:rPr>
        <w:footnoteReference w:id="27"/>
      </w:r>
      <w:r w:rsidR="00D64217" w:rsidRPr="00C57D4B">
        <w:rPr>
          <w:rFonts w:ascii="Verdana" w:hAnsi="Verdana" w:cstheme="minorHAnsi"/>
          <w:color w:val="262626" w:themeColor="text1" w:themeTint="D9"/>
          <w:sz w:val="20"/>
        </w:rPr>
        <w:t xml:space="preserve"> </w:t>
      </w:r>
      <w:r w:rsidR="008E3BEA" w:rsidRPr="00C57D4B">
        <w:rPr>
          <w:rFonts w:ascii="Verdana" w:hAnsi="Verdana" w:cstheme="minorHAnsi"/>
          <w:color w:val="262626" w:themeColor="text1" w:themeTint="D9"/>
          <w:sz w:val="20"/>
        </w:rPr>
        <w:t>for refrigerated</w:t>
      </w:r>
      <w:r w:rsidR="00491C3D" w:rsidRPr="00C57D4B">
        <w:rPr>
          <w:rFonts w:ascii="Verdana" w:hAnsi="Verdana" w:cstheme="minorHAnsi"/>
          <w:color w:val="262626" w:themeColor="text1" w:themeTint="D9"/>
          <w:sz w:val="20"/>
        </w:rPr>
        <w:t xml:space="preserve"> c</w:t>
      </w:r>
      <w:r w:rsidR="008E3BEA" w:rsidRPr="00C57D4B">
        <w:rPr>
          <w:rFonts w:ascii="Verdana" w:hAnsi="Verdana" w:cstheme="minorHAnsi"/>
          <w:color w:val="262626" w:themeColor="text1" w:themeTint="D9"/>
          <w:sz w:val="20"/>
        </w:rPr>
        <w:t>ontainers</w:t>
      </w:r>
      <w:r w:rsidR="00491C3D" w:rsidRPr="00C57D4B">
        <w:rPr>
          <w:rFonts w:ascii="Verdana" w:hAnsi="Verdana" w:cstheme="minorHAnsi"/>
          <w:color w:val="262626" w:themeColor="text1" w:themeTint="D9"/>
          <w:sz w:val="20"/>
        </w:rPr>
        <w:t xml:space="preserve"> and for icemakers ISO/NP 6369</w:t>
      </w:r>
      <w:r w:rsidR="00491C3D" w:rsidRPr="00C57D4B">
        <w:rPr>
          <w:rStyle w:val="FootnoteReference"/>
          <w:rFonts w:ascii="Verdana" w:hAnsi="Verdana" w:cstheme="minorHAnsi"/>
          <w:color w:val="262626" w:themeColor="text1" w:themeTint="D9"/>
        </w:rPr>
        <w:footnoteReference w:id="28"/>
      </w:r>
      <w:r w:rsidR="00491C3D" w:rsidRPr="00C57D4B">
        <w:rPr>
          <w:rFonts w:ascii="Verdana" w:hAnsi="Verdana" w:cstheme="minorHAnsi"/>
          <w:color w:val="262626" w:themeColor="text1" w:themeTint="D9"/>
          <w:sz w:val="20"/>
        </w:rPr>
        <w:t>, ANSI/ASHRAE 29-2015 (R2018)</w:t>
      </w:r>
      <w:r w:rsidR="00491C3D" w:rsidRPr="00C57D4B">
        <w:rPr>
          <w:rStyle w:val="FootnoteReference"/>
          <w:rFonts w:ascii="Verdana" w:hAnsi="Verdana" w:cstheme="minorHAnsi"/>
          <w:color w:val="262626" w:themeColor="text1" w:themeTint="D9"/>
        </w:rPr>
        <w:footnoteReference w:id="29"/>
      </w:r>
      <w:r w:rsidR="00491C3D" w:rsidRPr="00C57D4B">
        <w:rPr>
          <w:rFonts w:ascii="Verdana" w:hAnsi="Verdana" w:cstheme="minorHAnsi"/>
          <w:color w:val="262626" w:themeColor="text1" w:themeTint="D9"/>
          <w:sz w:val="20"/>
        </w:rPr>
        <w:t>, AHRI Standard 810</w:t>
      </w:r>
      <w:r w:rsidR="00491C3D" w:rsidRPr="00C57D4B">
        <w:rPr>
          <w:rStyle w:val="FootnoteReference"/>
          <w:rFonts w:ascii="Verdana" w:hAnsi="Verdana" w:cstheme="minorHAnsi"/>
          <w:color w:val="262626" w:themeColor="text1" w:themeTint="D9"/>
        </w:rPr>
        <w:footnoteReference w:id="30"/>
      </w:r>
      <w:r w:rsidR="00634581">
        <w:rPr>
          <w:rFonts w:ascii="Verdana" w:hAnsi="Verdana" w:cstheme="minorHAnsi"/>
          <w:color w:val="262626" w:themeColor="text1" w:themeTint="D9"/>
          <w:sz w:val="20"/>
        </w:rPr>
        <w:t>.</w:t>
      </w:r>
    </w:p>
    <w:p w14:paraId="203C84E4" w14:textId="4260D7BD" w:rsidR="0077107D" w:rsidRPr="00C57D4B" w:rsidRDefault="0077107D" w:rsidP="00657386">
      <w:pPr>
        <w:pStyle w:val="ManualHeading1"/>
        <w:spacing w:line="276" w:lineRule="auto"/>
        <w:rPr>
          <w:rFonts w:ascii="Verdana" w:hAnsi="Verdana"/>
          <w:color w:val="262626" w:themeColor="text1" w:themeTint="D9"/>
          <w:szCs w:val="24"/>
        </w:rPr>
      </w:pPr>
      <w:bookmarkStart w:id="2" w:name="consultation"/>
      <w:bookmarkEnd w:id="2"/>
      <w:r w:rsidRPr="00C57D4B">
        <w:rPr>
          <w:rFonts w:ascii="Verdana" w:hAnsi="Verdana"/>
          <w:color w:val="262626" w:themeColor="text1" w:themeTint="D9"/>
          <w:szCs w:val="24"/>
        </w:rPr>
        <w:t>2.</w:t>
      </w:r>
      <w:r w:rsidRPr="00C57D4B">
        <w:rPr>
          <w:rFonts w:ascii="Verdana" w:hAnsi="Verdana"/>
          <w:color w:val="262626" w:themeColor="text1" w:themeTint="D9"/>
          <w:szCs w:val="24"/>
        </w:rPr>
        <w:tab/>
      </w:r>
      <w:r w:rsidR="00DA6965" w:rsidRPr="00C57D4B">
        <w:rPr>
          <w:rFonts w:ascii="Verdana" w:hAnsi="Verdana"/>
          <w:color w:val="262626" w:themeColor="text1" w:themeTint="D9"/>
          <w:szCs w:val="24"/>
        </w:rPr>
        <w:t>Methodology and c</w:t>
      </w:r>
      <w:r w:rsidRPr="00C57D4B">
        <w:rPr>
          <w:rFonts w:ascii="Verdana" w:hAnsi="Verdana"/>
          <w:color w:val="262626" w:themeColor="text1" w:themeTint="D9"/>
          <w:szCs w:val="24"/>
        </w:rPr>
        <w:t>onsultation</w:t>
      </w:r>
      <w:r w:rsidR="00DA6965" w:rsidRPr="00C57D4B">
        <w:rPr>
          <w:rFonts w:ascii="Verdana" w:hAnsi="Verdana"/>
          <w:color w:val="262626" w:themeColor="text1" w:themeTint="D9"/>
          <w:szCs w:val="24"/>
        </w:rPr>
        <w:t>s</w:t>
      </w:r>
    </w:p>
    <w:p w14:paraId="22D5090E" w14:textId="4DAFE9F2" w:rsidR="00AE6062" w:rsidRPr="00C57D4B" w:rsidRDefault="001C23D1" w:rsidP="00657386">
      <w:pPr>
        <w:spacing w:line="276" w:lineRule="auto"/>
        <w:rPr>
          <w:rFonts w:ascii="Verdana" w:hAnsi="Verdana"/>
          <w:color w:val="262626" w:themeColor="text1" w:themeTint="D9"/>
          <w:sz w:val="20"/>
        </w:rPr>
      </w:pPr>
      <w:r w:rsidRPr="00C57D4B">
        <w:rPr>
          <w:rFonts w:ascii="Verdana" w:hAnsi="Verdana"/>
          <w:color w:val="262626" w:themeColor="text1" w:themeTint="D9"/>
          <w:sz w:val="20"/>
        </w:rPr>
        <w:t>The proposal</w:t>
      </w:r>
      <w:r w:rsidR="00063EE3" w:rsidRPr="00C57D4B">
        <w:rPr>
          <w:rFonts w:ascii="Verdana" w:hAnsi="Verdana"/>
          <w:color w:val="262626" w:themeColor="text1" w:themeTint="D9"/>
          <w:sz w:val="20"/>
        </w:rPr>
        <w:t xml:space="preserve"> in the draft Working Document</w:t>
      </w:r>
      <w:r w:rsidRPr="00C57D4B">
        <w:rPr>
          <w:rFonts w:ascii="Verdana" w:hAnsi="Verdana"/>
          <w:color w:val="262626" w:themeColor="text1" w:themeTint="D9"/>
          <w:sz w:val="20"/>
        </w:rPr>
        <w:t xml:space="preserve"> follows a review study for the European Commission</w:t>
      </w:r>
      <w:r w:rsidRPr="00C57D4B">
        <w:rPr>
          <w:rStyle w:val="FootnoteReference"/>
          <w:rFonts w:ascii="Verdana" w:hAnsi="Verdana"/>
          <w:color w:val="262626" w:themeColor="text1" w:themeTint="D9"/>
        </w:rPr>
        <w:footnoteReference w:id="31"/>
      </w:r>
      <w:r w:rsidRPr="00C57D4B">
        <w:rPr>
          <w:rFonts w:ascii="Verdana" w:hAnsi="Verdana"/>
          <w:color w:val="262626" w:themeColor="text1" w:themeTint="D9"/>
          <w:sz w:val="20"/>
        </w:rPr>
        <w:t xml:space="preserve"> that investigated specific issues mentioned in the revision clauses of the regulations</w:t>
      </w:r>
      <w:r w:rsidRPr="00C57D4B">
        <w:rPr>
          <w:rStyle w:val="FootnoteReference"/>
          <w:rFonts w:ascii="Verdana" w:hAnsi="Verdana"/>
          <w:color w:val="262626" w:themeColor="text1" w:themeTint="D9"/>
        </w:rPr>
        <w:footnoteReference w:id="32"/>
      </w:r>
      <w:r w:rsidRPr="00C57D4B">
        <w:rPr>
          <w:rFonts w:ascii="Verdana" w:hAnsi="Verdana"/>
          <w:color w:val="262626" w:themeColor="text1" w:themeTint="D9"/>
          <w:sz w:val="20"/>
        </w:rPr>
        <w:t xml:space="preserve"> (Phase 1.1) and an update of the </w:t>
      </w:r>
      <w:r w:rsidR="00080E5E" w:rsidRPr="00C57D4B">
        <w:rPr>
          <w:rFonts w:ascii="Verdana" w:hAnsi="Verdana"/>
          <w:color w:val="262626" w:themeColor="text1" w:themeTint="D9"/>
          <w:sz w:val="20"/>
        </w:rPr>
        <w:t xml:space="preserve">legacy </w:t>
      </w:r>
      <w:r w:rsidRPr="00C57D4B">
        <w:rPr>
          <w:rFonts w:ascii="Verdana" w:hAnsi="Verdana"/>
          <w:color w:val="262626" w:themeColor="text1" w:themeTint="D9"/>
          <w:sz w:val="20"/>
        </w:rPr>
        <w:t xml:space="preserve">preparatory study (Phase 1.2). </w:t>
      </w:r>
    </w:p>
    <w:p w14:paraId="3404C2A1" w14:textId="0941D878" w:rsidR="00AE6062" w:rsidRPr="00C57D4B" w:rsidRDefault="00AE6062" w:rsidP="00CE3DEA">
      <w:pPr>
        <w:spacing w:line="276" w:lineRule="auto"/>
        <w:rPr>
          <w:rFonts w:ascii="Verdana" w:hAnsi="Verdana"/>
          <w:color w:val="262626" w:themeColor="text1" w:themeTint="D9"/>
          <w:sz w:val="20"/>
        </w:rPr>
      </w:pPr>
      <w:r w:rsidRPr="00C57D4B">
        <w:rPr>
          <w:rFonts w:ascii="Verdana" w:hAnsi="Verdana"/>
          <w:color w:val="262626" w:themeColor="text1" w:themeTint="D9"/>
          <w:sz w:val="20"/>
        </w:rPr>
        <w:lastRenderedPageBreak/>
        <w:t xml:space="preserve">The review articles require the </w:t>
      </w:r>
      <w:r w:rsidRPr="00C57D4B">
        <w:rPr>
          <w:rFonts w:ascii="Verdana" w:hAnsi="Verdana"/>
          <w:i/>
          <w:iCs/>
          <w:color w:val="262626" w:themeColor="text1" w:themeTint="D9"/>
          <w:sz w:val="20"/>
        </w:rPr>
        <w:t>Commission to review the Regulations the light of technological progress</w:t>
      </w:r>
      <w:r w:rsidRPr="00C57D4B">
        <w:rPr>
          <w:rFonts w:ascii="Verdana" w:hAnsi="Verdana"/>
          <w:color w:val="262626" w:themeColor="text1" w:themeTint="D9"/>
          <w:sz w:val="20"/>
        </w:rPr>
        <w:t xml:space="preserve">, meaning whether the ecodesign and energy label requirements and limits can be set at a more ambitious level. </w:t>
      </w:r>
    </w:p>
    <w:p w14:paraId="51B321AC" w14:textId="77777777" w:rsidR="0025325F" w:rsidRPr="0025325F" w:rsidRDefault="0025325F" w:rsidP="0025325F">
      <w:pPr>
        <w:pStyle w:val="ListParagraph"/>
        <w:keepNext/>
        <w:numPr>
          <w:ilvl w:val="0"/>
          <w:numId w:val="3"/>
        </w:numPr>
        <w:spacing w:before="240" w:after="240" w:line="240" w:lineRule="auto"/>
        <w:contextualSpacing w:val="0"/>
        <w:jc w:val="both"/>
        <w:outlineLvl w:val="0"/>
        <w:rPr>
          <w:rFonts w:ascii="Times New Roman" w:eastAsia="Times New Roman" w:hAnsi="Times New Roman" w:cs="Times New Roman"/>
          <w:b/>
          <w:smallCaps/>
          <w:vanish/>
          <w:sz w:val="24"/>
          <w:szCs w:val="20"/>
        </w:rPr>
      </w:pPr>
    </w:p>
    <w:p w14:paraId="3E1A1B75" w14:textId="72366FA8" w:rsidR="0048609E" w:rsidRPr="00C57D4B" w:rsidRDefault="0048609E" w:rsidP="00CE3DEA">
      <w:pPr>
        <w:pStyle w:val="Heading2"/>
        <w:tabs>
          <w:tab w:val="clear" w:pos="1712"/>
        </w:tabs>
      </w:pPr>
      <w:r w:rsidRPr="00C57D4B">
        <w:t>Professional refrigerated storage cabinets</w:t>
      </w:r>
      <w:r w:rsidR="009B70E5" w:rsidRPr="00C57D4B">
        <w:t xml:space="preserve"> (Phase 1.1)</w:t>
      </w:r>
    </w:p>
    <w:p w14:paraId="71A872CB" w14:textId="143B5C2C" w:rsidR="00AE6062" w:rsidRPr="00C57D4B" w:rsidRDefault="00AE6062" w:rsidP="00657386">
      <w:pPr>
        <w:rPr>
          <w:rFonts w:ascii="Verdana" w:hAnsi="Verdana" w:cs="Segoe UI"/>
          <w:color w:val="262626" w:themeColor="text1" w:themeTint="D9"/>
          <w:sz w:val="20"/>
        </w:rPr>
      </w:pPr>
      <w:r w:rsidRPr="00C57D4B">
        <w:rPr>
          <w:rFonts w:ascii="Verdana" w:hAnsi="Verdana"/>
          <w:color w:val="262626" w:themeColor="text1" w:themeTint="D9"/>
          <w:sz w:val="20"/>
        </w:rPr>
        <w:t>F</w:t>
      </w:r>
      <w:r w:rsidRPr="00C57D4B">
        <w:rPr>
          <w:rFonts w:ascii="Verdana" w:hAnsi="Verdana" w:cs="Segoe UI"/>
          <w:color w:val="262626" w:themeColor="text1" w:themeTint="D9"/>
          <w:sz w:val="20"/>
        </w:rPr>
        <w:t>or professional refrigerated storage cabinets</w:t>
      </w:r>
      <w:r w:rsidRPr="00C57D4B">
        <w:rPr>
          <w:rFonts w:ascii="Verdana" w:hAnsi="Verdana"/>
          <w:color w:val="262626" w:themeColor="text1" w:themeTint="D9"/>
          <w:sz w:val="20"/>
        </w:rPr>
        <w:t xml:space="preserve">, the review clauses ask to investigate </w:t>
      </w:r>
      <w:r w:rsidR="00207285" w:rsidRPr="00C57D4B">
        <w:rPr>
          <w:rFonts w:ascii="Verdana" w:hAnsi="Verdana"/>
          <w:color w:val="262626" w:themeColor="text1" w:themeTint="D9"/>
          <w:sz w:val="20"/>
        </w:rPr>
        <w:t xml:space="preserve">specifically </w:t>
      </w:r>
      <w:r w:rsidRPr="00C57D4B">
        <w:rPr>
          <w:rFonts w:ascii="Verdana" w:hAnsi="Verdana"/>
          <w:color w:val="262626" w:themeColor="text1" w:themeTint="D9"/>
          <w:sz w:val="20"/>
        </w:rPr>
        <w:t>the appropriateness</w:t>
      </w:r>
      <w:r w:rsidR="00207285" w:rsidRPr="00C57D4B">
        <w:rPr>
          <w:rFonts w:ascii="Verdana" w:hAnsi="Verdana"/>
          <w:color w:val="262626" w:themeColor="text1" w:themeTint="D9"/>
          <w:sz w:val="20"/>
        </w:rPr>
        <w:t xml:space="preserve"> of</w:t>
      </w:r>
      <w:r w:rsidRPr="00C57D4B">
        <w:rPr>
          <w:rFonts w:ascii="Verdana" w:hAnsi="Verdana" w:cs="Segoe UI"/>
          <w:color w:val="262626" w:themeColor="text1" w:themeTint="D9"/>
          <w:sz w:val="20"/>
        </w:rPr>
        <w:t xml:space="preserve"> </w:t>
      </w:r>
    </w:p>
    <w:p w14:paraId="0A8CAF5E" w14:textId="551A6BDA" w:rsidR="00AE6062" w:rsidRPr="00C57D4B" w:rsidRDefault="00AE6062" w:rsidP="00C57D4B">
      <w:pPr>
        <w:numPr>
          <w:ilvl w:val="0"/>
          <w:numId w:val="50"/>
        </w:numPr>
        <w:shd w:val="clear" w:color="auto" w:fill="FFFFFF"/>
        <w:spacing w:after="0" w:line="293" w:lineRule="atLeast"/>
        <w:rPr>
          <w:rFonts w:ascii="Verdana" w:hAnsi="Verdana" w:cs="Segoe UI"/>
          <w:color w:val="262626" w:themeColor="text1" w:themeTint="D9"/>
          <w:sz w:val="20"/>
        </w:rPr>
      </w:pPr>
      <w:r w:rsidRPr="00C57D4B">
        <w:rPr>
          <w:rFonts w:ascii="Verdana" w:hAnsi="Verdana" w:cs="Segoe UI"/>
          <w:color w:val="262626" w:themeColor="text1" w:themeTint="D9"/>
          <w:sz w:val="20"/>
        </w:rPr>
        <w:t>introducing, in particular:</w:t>
      </w:r>
    </w:p>
    <w:p w14:paraId="52306491" w14:textId="77777777" w:rsidR="00AE6062" w:rsidRPr="00C57D4B" w:rsidRDefault="00AE6062" w:rsidP="00C57D4B">
      <w:pPr>
        <w:numPr>
          <w:ilvl w:val="1"/>
          <w:numId w:val="50"/>
        </w:numPr>
        <w:shd w:val="clear" w:color="auto" w:fill="FFFFFF"/>
        <w:spacing w:after="0" w:line="293" w:lineRule="atLeast"/>
        <w:rPr>
          <w:rFonts w:ascii="Verdana" w:hAnsi="Verdana" w:cs="Segoe UI"/>
          <w:color w:val="262626" w:themeColor="text1" w:themeTint="D9"/>
          <w:sz w:val="20"/>
        </w:rPr>
      </w:pPr>
      <w:r w:rsidRPr="00C57D4B">
        <w:rPr>
          <w:rFonts w:ascii="Verdana" w:hAnsi="Verdana" w:cs="Segoe UI"/>
          <w:color w:val="262626" w:themeColor="text1" w:themeTint="D9"/>
          <w:sz w:val="20"/>
        </w:rPr>
        <w:t>ecodesign requirements for cabinets listed in Article 1(1);</w:t>
      </w:r>
    </w:p>
    <w:p w14:paraId="258EEA17" w14:textId="77777777" w:rsidR="00AE6062" w:rsidRPr="00C57D4B" w:rsidRDefault="00AE6062" w:rsidP="00C57D4B">
      <w:pPr>
        <w:numPr>
          <w:ilvl w:val="1"/>
          <w:numId w:val="50"/>
        </w:numPr>
        <w:shd w:val="clear" w:color="auto" w:fill="FFFFFF"/>
        <w:spacing w:after="0" w:line="293" w:lineRule="atLeast"/>
        <w:rPr>
          <w:rFonts w:ascii="Verdana" w:hAnsi="Verdana" w:cs="Segoe UI"/>
          <w:color w:val="262626" w:themeColor="text1" w:themeTint="D9"/>
          <w:sz w:val="20"/>
        </w:rPr>
      </w:pPr>
      <w:r w:rsidRPr="00C57D4B">
        <w:rPr>
          <w:rFonts w:ascii="Verdana" w:hAnsi="Verdana" w:cs="Segoe UI"/>
          <w:color w:val="262626" w:themeColor="text1" w:themeTint="D9"/>
          <w:sz w:val="20"/>
        </w:rPr>
        <w:t>stricter requirements for heavy-duty cabinets;</w:t>
      </w:r>
    </w:p>
    <w:p w14:paraId="76B73EE8" w14:textId="77777777" w:rsidR="00AE6062" w:rsidRPr="00C57D4B" w:rsidRDefault="00AE6062" w:rsidP="00C57D4B">
      <w:pPr>
        <w:numPr>
          <w:ilvl w:val="1"/>
          <w:numId w:val="50"/>
        </w:numPr>
        <w:shd w:val="clear" w:color="auto" w:fill="FFFFFF"/>
        <w:spacing w:after="0" w:line="293" w:lineRule="atLeast"/>
        <w:rPr>
          <w:rFonts w:ascii="Verdana" w:hAnsi="Verdana" w:cs="Segoe UI"/>
          <w:color w:val="262626" w:themeColor="text1" w:themeTint="D9"/>
          <w:sz w:val="20"/>
        </w:rPr>
      </w:pPr>
      <w:r w:rsidRPr="00C57D4B">
        <w:rPr>
          <w:rFonts w:ascii="Verdana" w:hAnsi="Verdana" w:cs="Segoe UI"/>
          <w:color w:val="262626" w:themeColor="text1" w:themeTint="D9"/>
          <w:sz w:val="20"/>
        </w:rPr>
        <w:t>information requirement on a professional refrigerated storage cabinet's capacity to cool down foodstuffs;</w:t>
      </w:r>
    </w:p>
    <w:p w14:paraId="6EF54037" w14:textId="77777777" w:rsidR="00AE6062" w:rsidRPr="00C57D4B" w:rsidRDefault="00AE6062" w:rsidP="00C57D4B">
      <w:pPr>
        <w:numPr>
          <w:ilvl w:val="1"/>
          <w:numId w:val="50"/>
        </w:numPr>
        <w:shd w:val="clear" w:color="auto" w:fill="FFFFFF"/>
        <w:spacing w:after="0" w:line="293" w:lineRule="atLeast"/>
        <w:rPr>
          <w:rFonts w:ascii="Verdana" w:hAnsi="Verdana" w:cs="Segoe UI"/>
          <w:color w:val="262626" w:themeColor="text1" w:themeTint="D9"/>
          <w:sz w:val="20"/>
        </w:rPr>
      </w:pPr>
      <w:r w:rsidRPr="00C57D4B">
        <w:rPr>
          <w:rFonts w:ascii="Verdana" w:hAnsi="Verdana" w:cs="Segoe UI"/>
          <w:color w:val="262626" w:themeColor="text1" w:themeTint="D9"/>
          <w:sz w:val="20"/>
        </w:rPr>
        <w:t>a method for determining the standard annual energy consumption for refrigerator-freezers;</w:t>
      </w:r>
    </w:p>
    <w:p w14:paraId="51AD7A96" w14:textId="77777777" w:rsidR="00AE6062" w:rsidRPr="00C57D4B" w:rsidRDefault="00AE6062" w:rsidP="00C57D4B">
      <w:pPr>
        <w:numPr>
          <w:ilvl w:val="1"/>
          <w:numId w:val="50"/>
        </w:numPr>
        <w:shd w:val="clear" w:color="auto" w:fill="FFFFFF"/>
        <w:spacing w:after="0" w:line="293" w:lineRule="atLeast"/>
        <w:rPr>
          <w:rFonts w:ascii="Verdana" w:hAnsi="Verdana" w:cs="Segoe UI"/>
          <w:color w:val="262626" w:themeColor="text1" w:themeTint="D9"/>
          <w:sz w:val="20"/>
        </w:rPr>
      </w:pPr>
      <w:r w:rsidRPr="00C57D4B">
        <w:rPr>
          <w:rFonts w:ascii="Verdana" w:hAnsi="Verdana" w:cs="Segoe UI"/>
          <w:color w:val="262626" w:themeColor="text1" w:themeTint="D9"/>
          <w:sz w:val="20"/>
        </w:rPr>
        <w:t>a revised method for the standard annual energy consumption of counter cabinets;</w:t>
      </w:r>
    </w:p>
    <w:p w14:paraId="0744A908" w14:textId="77777777" w:rsidR="00AE6062" w:rsidRPr="00C57D4B" w:rsidRDefault="00AE6062" w:rsidP="00C57D4B">
      <w:pPr>
        <w:numPr>
          <w:ilvl w:val="0"/>
          <w:numId w:val="50"/>
        </w:numPr>
        <w:shd w:val="clear" w:color="auto" w:fill="FFFFFF"/>
        <w:spacing w:after="0" w:line="293" w:lineRule="atLeast"/>
        <w:rPr>
          <w:rFonts w:ascii="Verdana" w:hAnsi="Verdana" w:cs="Segoe UI"/>
          <w:color w:val="262626" w:themeColor="text1" w:themeTint="D9"/>
          <w:sz w:val="20"/>
        </w:rPr>
      </w:pPr>
      <w:r w:rsidRPr="00C57D4B">
        <w:rPr>
          <w:rFonts w:ascii="Verdana" w:hAnsi="Verdana" w:cs="Segoe UI"/>
          <w:color w:val="262626" w:themeColor="text1" w:themeTint="D9"/>
          <w:sz w:val="20"/>
        </w:rPr>
        <w:t>for blast cabinets, introducing ecodesign requirements for these products;</w:t>
      </w:r>
    </w:p>
    <w:p w14:paraId="701557E4" w14:textId="77777777" w:rsidR="00AE6062" w:rsidRPr="00C57D4B" w:rsidRDefault="00AE6062" w:rsidP="00C57D4B">
      <w:pPr>
        <w:numPr>
          <w:ilvl w:val="0"/>
          <w:numId w:val="50"/>
        </w:numPr>
        <w:shd w:val="clear" w:color="auto" w:fill="FFFFFF"/>
        <w:spacing w:after="0" w:line="293" w:lineRule="atLeast"/>
        <w:rPr>
          <w:rFonts w:ascii="Verdana" w:hAnsi="Verdana" w:cs="Segoe UI"/>
          <w:color w:val="262626" w:themeColor="text1" w:themeTint="D9"/>
          <w:sz w:val="20"/>
        </w:rPr>
      </w:pPr>
      <w:r w:rsidRPr="00C57D4B">
        <w:rPr>
          <w:rFonts w:ascii="Verdana" w:hAnsi="Verdana" w:cs="Segoe UI"/>
          <w:color w:val="262626" w:themeColor="text1" w:themeTint="D9"/>
          <w:sz w:val="20"/>
        </w:rPr>
        <w:t>for walk-in cold rooms, introducing ecodesign requirements for these products;</w:t>
      </w:r>
    </w:p>
    <w:p w14:paraId="7DD9CAAC" w14:textId="77777777" w:rsidR="00AE6062" w:rsidRPr="00C57D4B" w:rsidRDefault="00AE6062" w:rsidP="00C57D4B">
      <w:pPr>
        <w:numPr>
          <w:ilvl w:val="0"/>
          <w:numId w:val="50"/>
        </w:numPr>
        <w:shd w:val="clear" w:color="auto" w:fill="FFFFFF"/>
        <w:spacing w:after="0" w:line="293" w:lineRule="atLeast"/>
        <w:rPr>
          <w:rFonts w:ascii="Verdana" w:hAnsi="Verdana" w:cs="Segoe UI"/>
          <w:color w:val="262626" w:themeColor="text1" w:themeTint="D9"/>
          <w:sz w:val="20"/>
        </w:rPr>
      </w:pPr>
      <w:r w:rsidRPr="00C57D4B">
        <w:rPr>
          <w:rFonts w:ascii="Verdana" w:hAnsi="Verdana" w:cs="Segoe UI"/>
          <w:color w:val="262626" w:themeColor="text1" w:themeTint="D9"/>
          <w:sz w:val="20"/>
        </w:rPr>
        <w:t>for all products, a check if newer versions of quoted sources are available for Global Warming Potential (GWP) values;</w:t>
      </w:r>
    </w:p>
    <w:p w14:paraId="27412AA3" w14:textId="108D6D98" w:rsidR="00AE6062" w:rsidRPr="00C57D4B" w:rsidRDefault="00AE6062" w:rsidP="00C57D4B">
      <w:pPr>
        <w:numPr>
          <w:ilvl w:val="0"/>
          <w:numId w:val="50"/>
        </w:numPr>
        <w:shd w:val="clear" w:color="auto" w:fill="FFFFFF"/>
        <w:spacing w:after="0" w:line="293" w:lineRule="atLeast"/>
        <w:rPr>
          <w:rFonts w:ascii="Verdana" w:hAnsi="Verdana" w:cs="Segoe UI"/>
          <w:color w:val="262626" w:themeColor="text1" w:themeTint="D9"/>
          <w:sz w:val="20"/>
        </w:rPr>
      </w:pPr>
      <w:r w:rsidRPr="00C57D4B">
        <w:rPr>
          <w:rFonts w:ascii="Verdana" w:hAnsi="Verdana" w:cs="Segoe UI"/>
          <w:color w:val="262626" w:themeColor="text1" w:themeTint="D9"/>
          <w:sz w:val="20"/>
        </w:rPr>
        <w:t>for all products, the value of the admitted tolerances in the verification procedure for the measured value of the energy consumption;</w:t>
      </w:r>
    </w:p>
    <w:p w14:paraId="1CB21C17" w14:textId="3128AD1E" w:rsidR="00AE6062" w:rsidRPr="00C57D4B" w:rsidRDefault="00AE6062" w:rsidP="00C57D4B">
      <w:pPr>
        <w:shd w:val="clear" w:color="auto" w:fill="FFFFFF"/>
        <w:spacing w:after="0" w:line="293" w:lineRule="atLeast"/>
        <w:rPr>
          <w:rFonts w:ascii="Verdana" w:hAnsi="Verdana" w:cs="Segoe UI"/>
          <w:color w:val="262626" w:themeColor="text1" w:themeTint="D9"/>
          <w:sz w:val="20"/>
        </w:rPr>
      </w:pPr>
    </w:p>
    <w:p w14:paraId="008617F7" w14:textId="657BE0FF" w:rsidR="00AE6062" w:rsidRPr="00C57D4B" w:rsidRDefault="00207285" w:rsidP="00C57D4B">
      <w:pPr>
        <w:shd w:val="clear" w:color="auto" w:fill="FFFFFF"/>
        <w:spacing w:after="0" w:line="293" w:lineRule="atLeast"/>
        <w:rPr>
          <w:rFonts w:ascii="Verdana" w:hAnsi="Verdana" w:cs="Segoe UI"/>
          <w:color w:val="262626" w:themeColor="text1" w:themeTint="D9"/>
          <w:sz w:val="20"/>
        </w:rPr>
      </w:pPr>
      <w:r w:rsidRPr="00C57D4B">
        <w:rPr>
          <w:rFonts w:ascii="Verdana" w:hAnsi="Verdana" w:cs="Segoe UI"/>
          <w:color w:val="262626" w:themeColor="text1" w:themeTint="D9"/>
          <w:sz w:val="20"/>
        </w:rPr>
        <w:t>Furthermore, the review study address questions regarding definitions and standards, i.e.</w:t>
      </w:r>
    </w:p>
    <w:p w14:paraId="5C737293" w14:textId="6F34A337" w:rsidR="00207285" w:rsidRPr="00C57D4B" w:rsidRDefault="00207285" w:rsidP="00C57D4B">
      <w:pPr>
        <w:shd w:val="clear" w:color="auto" w:fill="FFFFFF"/>
        <w:spacing w:after="0" w:line="293" w:lineRule="atLeast"/>
        <w:rPr>
          <w:rFonts w:ascii="Verdana" w:hAnsi="Verdana" w:cs="Segoe UI"/>
          <w:color w:val="262626" w:themeColor="text1" w:themeTint="D9"/>
          <w:sz w:val="20"/>
        </w:rPr>
      </w:pPr>
    </w:p>
    <w:p w14:paraId="51665989" w14:textId="441A6180" w:rsidR="00207285" w:rsidRPr="00C57D4B" w:rsidRDefault="00207285" w:rsidP="00C57D4B">
      <w:pPr>
        <w:numPr>
          <w:ilvl w:val="0"/>
          <w:numId w:val="50"/>
        </w:numPr>
        <w:shd w:val="clear" w:color="auto" w:fill="FFFFFF"/>
        <w:spacing w:after="0" w:line="293" w:lineRule="atLeast"/>
        <w:rPr>
          <w:rFonts w:ascii="Verdana" w:hAnsi="Verdana" w:cs="Segoe UI"/>
          <w:color w:val="262626" w:themeColor="text1" w:themeTint="D9"/>
          <w:sz w:val="20"/>
        </w:rPr>
      </w:pPr>
      <w:r w:rsidRPr="00C57D4B">
        <w:rPr>
          <w:rFonts w:ascii="Verdana" w:hAnsi="Verdana" w:cs="Segoe UI"/>
          <w:color w:val="262626" w:themeColor="text1" w:themeTint="D9"/>
          <w:sz w:val="20"/>
        </w:rPr>
        <w:t>Are blast cabinets with remote condensing units in the scope</w:t>
      </w:r>
      <w:r w:rsidR="009B70E5" w:rsidRPr="00C57D4B">
        <w:rPr>
          <w:rFonts w:ascii="Verdana" w:hAnsi="Verdana" w:cs="Segoe UI"/>
          <w:color w:val="262626" w:themeColor="text1" w:themeTint="D9"/>
          <w:sz w:val="20"/>
        </w:rPr>
        <w:t>?</w:t>
      </w:r>
    </w:p>
    <w:p w14:paraId="7D8D1E25" w14:textId="71CCB2B3" w:rsidR="00207285" w:rsidRPr="00C57D4B" w:rsidRDefault="00207285" w:rsidP="00C57D4B">
      <w:pPr>
        <w:numPr>
          <w:ilvl w:val="0"/>
          <w:numId w:val="50"/>
        </w:numPr>
        <w:shd w:val="clear" w:color="auto" w:fill="FFFFFF"/>
        <w:spacing w:after="0" w:line="293" w:lineRule="atLeast"/>
        <w:rPr>
          <w:rFonts w:ascii="Verdana" w:hAnsi="Verdana" w:cs="Segoe UI"/>
          <w:color w:val="262626" w:themeColor="text1" w:themeTint="D9"/>
          <w:sz w:val="20"/>
        </w:rPr>
      </w:pPr>
      <w:r w:rsidRPr="00C57D4B">
        <w:rPr>
          <w:rFonts w:ascii="Verdana" w:hAnsi="Verdana" w:cs="Segoe UI"/>
          <w:color w:val="262626" w:themeColor="text1" w:themeTint="D9"/>
          <w:sz w:val="20"/>
        </w:rPr>
        <w:t>Suitability of available test standards for walk-in cold rooms</w:t>
      </w:r>
    </w:p>
    <w:p w14:paraId="62BDAE01" w14:textId="1B6188AA" w:rsidR="004E61E0" w:rsidRPr="00C57D4B" w:rsidRDefault="00207285" w:rsidP="00C57D4B">
      <w:pPr>
        <w:numPr>
          <w:ilvl w:val="0"/>
          <w:numId w:val="50"/>
        </w:numPr>
        <w:shd w:val="clear" w:color="auto" w:fill="FFFFFF"/>
        <w:spacing w:after="0" w:line="293" w:lineRule="atLeast"/>
        <w:rPr>
          <w:rFonts w:ascii="Verdana" w:hAnsi="Verdana" w:cs="Segoe UI"/>
          <w:color w:val="262626" w:themeColor="text1" w:themeTint="D9"/>
          <w:sz w:val="20"/>
        </w:rPr>
      </w:pPr>
      <w:r w:rsidRPr="00C57D4B">
        <w:rPr>
          <w:rFonts w:ascii="Verdana" w:hAnsi="Verdana" w:cs="Segoe UI"/>
          <w:color w:val="262626" w:themeColor="text1" w:themeTint="D9"/>
          <w:sz w:val="20"/>
        </w:rPr>
        <w:t>Equivalence, or need of equivalence/correction factors, between legacy and new test standards for cabinets</w:t>
      </w:r>
      <w:r w:rsidR="004E61E0" w:rsidRPr="00C57D4B">
        <w:rPr>
          <w:color w:val="262626" w:themeColor="text1" w:themeTint="D9"/>
        </w:rPr>
        <w:footnoteReference w:id="33"/>
      </w:r>
      <w:r w:rsidR="004E61E0" w:rsidRPr="00C57D4B">
        <w:rPr>
          <w:rFonts w:ascii="Verdana" w:hAnsi="Verdana" w:cs="Segoe UI"/>
          <w:color w:val="262626" w:themeColor="text1" w:themeTint="D9"/>
          <w:sz w:val="20"/>
        </w:rPr>
        <w:t xml:space="preserve"> and –same question for different standards—blast cabinets</w:t>
      </w:r>
      <w:r w:rsidR="004E61E0" w:rsidRPr="00C57D4B">
        <w:rPr>
          <w:color w:val="262626" w:themeColor="text1" w:themeTint="D9"/>
        </w:rPr>
        <w:footnoteReference w:id="34"/>
      </w:r>
      <w:r w:rsidR="00080E5E" w:rsidRPr="00C57D4B">
        <w:rPr>
          <w:rFonts w:ascii="Verdana" w:hAnsi="Verdana" w:cs="Segoe UI"/>
          <w:color w:val="262626" w:themeColor="text1" w:themeTint="D9"/>
          <w:sz w:val="20"/>
        </w:rPr>
        <w:t>, to the extent of assessing compliance with the Ecodesign requirements on the energy performance/consumption</w:t>
      </w:r>
      <w:r w:rsidR="004E61E0" w:rsidRPr="00C57D4B">
        <w:rPr>
          <w:rFonts w:ascii="Verdana" w:hAnsi="Verdana" w:cs="Segoe UI"/>
          <w:color w:val="262626" w:themeColor="text1" w:themeTint="D9"/>
          <w:sz w:val="20"/>
        </w:rPr>
        <w:t xml:space="preserve"> </w:t>
      </w:r>
    </w:p>
    <w:p w14:paraId="1E15505F" w14:textId="77777777" w:rsidR="00561732" w:rsidRPr="00C57D4B" w:rsidRDefault="00561732" w:rsidP="00C57D4B">
      <w:pPr>
        <w:numPr>
          <w:ilvl w:val="0"/>
          <w:numId w:val="50"/>
        </w:numPr>
        <w:shd w:val="clear" w:color="auto" w:fill="FFFFFF"/>
        <w:spacing w:after="0" w:line="293" w:lineRule="atLeast"/>
        <w:rPr>
          <w:rFonts w:ascii="Verdana" w:hAnsi="Verdana" w:cs="Segoe UI"/>
          <w:color w:val="262626" w:themeColor="text1" w:themeTint="D9"/>
          <w:sz w:val="20"/>
        </w:rPr>
      </w:pPr>
      <w:r w:rsidRPr="00C57D4B">
        <w:rPr>
          <w:rFonts w:ascii="Verdana" w:hAnsi="Verdana" w:cs="Segoe UI"/>
          <w:color w:val="262626" w:themeColor="text1" w:themeTint="D9"/>
          <w:sz w:val="20"/>
        </w:rPr>
        <w:t>which test standards</w:t>
      </w:r>
      <w:r w:rsidRPr="00C57D4B">
        <w:rPr>
          <w:rStyle w:val="FootnoteReference"/>
          <w:rFonts w:ascii="Verdana" w:hAnsi="Verdana" w:cs="Segoe UI"/>
          <w:color w:val="262626" w:themeColor="text1" w:themeTint="D9"/>
        </w:rPr>
        <w:footnoteReference w:id="35"/>
      </w:r>
      <w:r w:rsidRPr="00C57D4B">
        <w:rPr>
          <w:rFonts w:ascii="Verdana" w:hAnsi="Verdana" w:cs="Segoe UI"/>
          <w:color w:val="262626" w:themeColor="text1" w:themeTint="D9"/>
          <w:sz w:val="20"/>
        </w:rPr>
        <w:t> could be used to the extent of assessing the energy performance/consumption of professional refrigerated storage cabinets for laboratory use, inter alia those with very low operating temperature (i.e. less than -15°C);</w:t>
      </w:r>
    </w:p>
    <w:p w14:paraId="5163F483" w14:textId="44509E71" w:rsidR="00207285" w:rsidRPr="00C57D4B" w:rsidRDefault="00207285" w:rsidP="00C57D4B">
      <w:pPr>
        <w:shd w:val="clear" w:color="auto" w:fill="FFFFFF"/>
        <w:spacing w:after="0" w:line="293" w:lineRule="atLeast"/>
        <w:rPr>
          <w:rFonts w:ascii="Verdana" w:hAnsi="Verdana" w:cs="Segoe UI"/>
          <w:color w:val="262626" w:themeColor="text1" w:themeTint="D9"/>
          <w:sz w:val="20"/>
        </w:rPr>
      </w:pPr>
    </w:p>
    <w:p w14:paraId="21462F32" w14:textId="21C884B4" w:rsidR="00080E5E" w:rsidRPr="00C57D4B" w:rsidRDefault="004E61E0" w:rsidP="00C57D4B">
      <w:pPr>
        <w:shd w:val="clear" w:color="auto" w:fill="FFFFFF"/>
        <w:spacing w:after="0" w:line="293" w:lineRule="atLeast"/>
        <w:rPr>
          <w:rFonts w:ascii="Verdana" w:hAnsi="Verdana" w:cs="Segoe UI"/>
          <w:color w:val="262626" w:themeColor="text1" w:themeTint="D9"/>
          <w:sz w:val="20"/>
        </w:rPr>
      </w:pPr>
      <w:r w:rsidRPr="00C57D4B">
        <w:rPr>
          <w:rFonts w:ascii="Verdana" w:hAnsi="Verdana" w:cs="Segoe UI"/>
          <w:color w:val="262626" w:themeColor="text1" w:themeTint="D9"/>
          <w:sz w:val="20"/>
        </w:rPr>
        <w:t xml:space="preserve">Finally, in the first stakeholder consultations there </w:t>
      </w:r>
      <w:r w:rsidR="009B70E5" w:rsidRPr="00C57D4B">
        <w:rPr>
          <w:rFonts w:ascii="Verdana" w:hAnsi="Verdana" w:cs="Segoe UI"/>
          <w:color w:val="262626" w:themeColor="text1" w:themeTint="D9"/>
          <w:sz w:val="20"/>
        </w:rPr>
        <w:t>are</w:t>
      </w:r>
      <w:r w:rsidRPr="00C57D4B">
        <w:rPr>
          <w:rFonts w:ascii="Verdana" w:hAnsi="Verdana" w:cs="Segoe UI"/>
          <w:color w:val="262626" w:themeColor="text1" w:themeTint="D9"/>
          <w:sz w:val="20"/>
        </w:rPr>
        <w:t xml:space="preserve"> suggestions from </w:t>
      </w:r>
      <w:r w:rsidR="009B70E5" w:rsidRPr="00C57D4B">
        <w:rPr>
          <w:rFonts w:ascii="Verdana" w:hAnsi="Verdana" w:cs="Segoe UI"/>
          <w:color w:val="262626" w:themeColor="text1" w:themeTint="D9"/>
          <w:sz w:val="20"/>
        </w:rPr>
        <w:t xml:space="preserve">some </w:t>
      </w:r>
      <w:r w:rsidRPr="00C57D4B">
        <w:rPr>
          <w:rFonts w:ascii="Verdana" w:hAnsi="Verdana" w:cs="Segoe UI"/>
          <w:color w:val="262626" w:themeColor="text1" w:themeTint="D9"/>
          <w:sz w:val="20"/>
        </w:rPr>
        <w:t xml:space="preserve">Member States </w:t>
      </w:r>
    </w:p>
    <w:p w14:paraId="1C16C73E" w14:textId="568E0442" w:rsidR="00080E5E" w:rsidRPr="00C57D4B" w:rsidRDefault="004E61E0" w:rsidP="00C57D4B">
      <w:pPr>
        <w:numPr>
          <w:ilvl w:val="0"/>
          <w:numId w:val="50"/>
        </w:numPr>
        <w:shd w:val="clear" w:color="auto" w:fill="FFFFFF"/>
        <w:spacing w:after="0" w:line="293" w:lineRule="atLeast"/>
        <w:rPr>
          <w:rFonts w:ascii="Verdana" w:hAnsi="Verdana" w:cs="Segoe UI"/>
          <w:color w:val="262626" w:themeColor="text1" w:themeTint="D9"/>
          <w:sz w:val="20"/>
        </w:rPr>
      </w:pPr>
      <w:proofErr w:type="gramStart"/>
      <w:r w:rsidRPr="00C57D4B">
        <w:rPr>
          <w:rFonts w:ascii="Verdana" w:hAnsi="Verdana" w:cs="Segoe UI"/>
          <w:color w:val="262626" w:themeColor="text1" w:themeTint="D9"/>
          <w:sz w:val="20"/>
        </w:rPr>
        <w:t>to</w:t>
      </w:r>
      <w:proofErr w:type="gramEnd"/>
      <w:r w:rsidRPr="00C57D4B">
        <w:rPr>
          <w:rFonts w:ascii="Verdana" w:hAnsi="Verdana" w:cs="Segoe UI"/>
          <w:color w:val="262626" w:themeColor="text1" w:themeTint="D9"/>
          <w:sz w:val="20"/>
        </w:rPr>
        <w:t xml:space="preserve"> consider including ice makers and laboratory (scientific) cabinets in the scope. </w:t>
      </w:r>
    </w:p>
    <w:p w14:paraId="07FE7971" w14:textId="77777777" w:rsidR="00080E5E" w:rsidRPr="00C57D4B" w:rsidRDefault="00080E5E" w:rsidP="00C57D4B">
      <w:pPr>
        <w:shd w:val="clear" w:color="auto" w:fill="FFFFFF"/>
        <w:spacing w:after="0" w:line="293" w:lineRule="atLeast"/>
        <w:rPr>
          <w:rFonts w:ascii="Verdana" w:hAnsi="Verdana" w:cs="Segoe UI"/>
          <w:color w:val="262626" w:themeColor="text1" w:themeTint="D9"/>
          <w:sz w:val="20"/>
        </w:rPr>
      </w:pPr>
    </w:p>
    <w:p w14:paraId="710C63CF" w14:textId="23E44A2E" w:rsidR="00080E5E" w:rsidRPr="00C57D4B" w:rsidRDefault="00080E5E" w:rsidP="00C57D4B">
      <w:pPr>
        <w:shd w:val="clear" w:color="auto" w:fill="FFFFFF"/>
        <w:spacing w:after="0" w:line="293" w:lineRule="atLeast"/>
        <w:rPr>
          <w:rFonts w:ascii="Verdana" w:hAnsi="Verdana" w:cs="Segoe UI"/>
          <w:color w:val="262626" w:themeColor="text1" w:themeTint="D9"/>
          <w:sz w:val="20"/>
        </w:rPr>
      </w:pPr>
      <w:r w:rsidRPr="00C57D4B">
        <w:rPr>
          <w:rFonts w:ascii="Verdana" w:hAnsi="Verdana" w:cs="Segoe UI"/>
          <w:color w:val="262626" w:themeColor="text1" w:themeTint="D9"/>
          <w:sz w:val="20"/>
        </w:rPr>
        <w:t>F</w:t>
      </w:r>
      <w:r w:rsidR="004E61E0" w:rsidRPr="00C57D4B">
        <w:rPr>
          <w:rFonts w:ascii="Verdana" w:hAnsi="Verdana" w:cs="Segoe UI"/>
          <w:color w:val="262626" w:themeColor="text1" w:themeTint="D9"/>
          <w:sz w:val="20"/>
        </w:rPr>
        <w:t xml:space="preserve">rom a previous ecodesign study, there is a question </w:t>
      </w:r>
    </w:p>
    <w:p w14:paraId="63DB333C" w14:textId="7A67D3D0" w:rsidR="004E61E0" w:rsidRPr="00C57D4B" w:rsidRDefault="009B70E5" w:rsidP="00C57D4B">
      <w:pPr>
        <w:numPr>
          <w:ilvl w:val="0"/>
          <w:numId w:val="50"/>
        </w:numPr>
        <w:shd w:val="clear" w:color="auto" w:fill="FFFFFF"/>
        <w:spacing w:after="0" w:line="293" w:lineRule="atLeast"/>
        <w:rPr>
          <w:rFonts w:ascii="Verdana" w:hAnsi="Verdana" w:cs="Segoe UI"/>
          <w:color w:val="262626" w:themeColor="text1" w:themeTint="D9"/>
          <w:sz w:val="20"/>
        </w:rPr>
      </w:pPr>
      <w:proofErr w:type="gramStart"/>
      <w:r w:rsidRPr="00C57D4B">
        <w:rPr>
          <w:rFonts w:ascii="Verdana" w:hAnsi="Verdana" w:cs="Segoe UI"/>
          <w:color w:val="262626" w:themeColor="text1" w:themeTint="D9"/>
          <w:sz w:val="20"/>
        </w:rPr>
        <w:t>t</w:t>
      </w:r>
      <w:r w:rsidR="00080E5E" w:rsidRPr="00C57D4B">
        <w:rPr>
          <w:rFonts w:ascii="Verdana" w:hAnsi="Verdana" w:cs="Segoe UI"/>
          <w:color w:val="262626" w:themeColor="text1" w:themeTint="D9"/>
          <w:sz w:val="20"/>
        </w:rPr>
        <w:t>o</w:t>
      </w:r>
      <w:proofErr w:type="gramEnd"/>
      <w:r w:rsidR="00080E5E" w:rsidRPr="00C57D4B">
        <w:rPr>
          <w:rFonts w:ascii="Verdana" w:hAnsi="Verdana" w:cs="Segoe UI"/>
          <w:color w:val="262626" w:themeColor="text1" w:themeTint="D9"/>
          <w:sz w:val="20"/>
        </w:rPr>
        <w:t xml:space="preserve"> consider including</w:t>
      </w:r>
      <w:r w:rsidR="004E61E0" w:rsidRPr="00C57D4B">
        <w:rPr>
          <w:rFonts w:ascii="Verdana" w:hAnsi="Verdana" w:cs="Segoe UI"/>
          <w:color w:val="262626" w:themeColor="text1" w:themeTint="D9"/>
          <w:sz w:val="20"/>
        </w:rPr>
        <w:t xml:space="preserve"> static refrigerating containers should be in the scope. </w:t>
      </w:r>
    </w:p>
    <w:p w14:paraId="3D8D8599" w14:textId="06EC3017" w:rsidR="009B70E5" w:rsidRPr="00C57D4B" w:rsidRDefault="009B70E5" w:rsidP="00C57D4B">
      <w:pPr>
        <w:shd w:val="clear" w:color="auto" w:fill="FFFFFF"/>
        <w:spacing w:after="0" w:line="293" w:lineRule="atLeast"/>
        <w:rPr>
          <w:rFonts w:ascii="Verdana" w:hAnsi="Verdana" w:cs="Segoe UI"/>
          <w:color w:val="262626" w:themeColor="text1" w:themeTint="D9"/>
          <w:sz w:val="20"/>
        </w:rPr>
      </w:pPr>
    </w:p>
    <w:p w14:paraId="0103FDF2" w14:textId="50DC4956" w:rsidR="009B70E5" w:rsidRPr="00C57D4B" w:rsidRDefault="009B70E5" w:rsidP="00CE3DEA">
      <w:pPr>
        <w:pStyle w:val="Heading2"/>
        <w:tabs>
          <w:tab w:val="clear" w:pos="1712"/>
        </w:tabs>
      </w:pPr>
      <w:r w:rsidRPr="00C57D4B">
        <w:lastRenderedPageBreak/>
        <w:t>Remote condensing units and process chillers (Phase 1.1)</w:t>
      </w:r>
    </w:p>
    <w:p w14:paraId="40C26E90" w14:textId="4FC07B20" w:rsidR="009B70E5" w:rsidRPr="00C57D4B" w:rsidRDefault="009B70E5" w:rsidP="00CE3DEA">
      <w:pPr>
        <w:spacing w:line="276" w:lineRule="auto"/>
        <w:rPr>
          <w:rFonts w:ascii="Verdana" w:hAnsi="Verdana" w:cs="Segoe UI"/>
          <w:color w:val="262626" w:themeColor="text1" w:themeTint="D9"/>
          <w:sz w:val="20"/>
        </w:rPr>
      </w:pPr>
      <w:r w:rsidRPr="00C57D4B">
        <w:rPr>
          <w:rFonts w:ascii="Verdana" w:hAnsi="Verdana"/>
          <w:color w:val="262626" w:themeColor="text1" w:themeTint="D9"/>
          <w:sz w:val="20"/>
        </w:rPr>
        <w:t>F</w:t>
      </w:r>
      <w:r w:rsidRPr="00C57D4B">
        <w:rPr>
          <w:rFonts w:ascii="Verdana" w:hAnsi="Verdana" w:cs="Segoe UI"/>
          <w:color w:val="262626" w:themeColor="text1" w:themeTint="D9"/>
          <w:sz w:val="20"/>
        </w:rPr>
        <w:t>or condensing units and process chillers</w:t>
      </w:r>
      <w:r w:rsidRPr="00C57D4B">
        <w:rPr>
          <w:rFonts w:ascii="Verdana" w:hAnsi="Verdana"/>
          <w:color w:val="262626" w:themeColor="text1" w:themeTint="D9"/>
          <w:sz w:val="20"/>
        </w:rPr>
        <w:t>, the review clause asks to investigate specifically the appropriateness of</w:t>
      </w:r>
      <w:r w:rsidRPr="00C57D4B">
        <w:rPr>
          <w:rFonts w:ascii="Verdana" w:hAnsi="Verdana" w:cs="Segoe UI"/>
          <w:color w:val="262626" w:themeColor="text1" w:themeTint="D9"/>
          <w:sz w:val="20"/>
        </w:rPr>
        <w:t xml:space="preserve"> setting </w:t>
      </w:r>
      <w:r w:rsidR="00561732" w:rsidRPr="00C57D4B">
        <w:rPr>
          <w:rFonts w:ascii="Verdana" w:hAnsi="Verdana" w:cs="Segoe UI"/>
          <w:color w:val="262626" w:themeColor="text1" w:themeTint="D9"/>
          <w:sz w:val="20"/>
        </w:rPr>
        <w:t xml:space="preserve">specific </w:t>
      </w:r>
      <w:r w:rsidRPr="00C57D4B">
        <w:rPr>
          <w:rFonts w:ascii="Verdana" w:hAnsi="Verdana" w:cs="Segoe UI"/>
          <w:color w:val="262626" w:themeColor="text1" w:themeTint="D9"/>
          <w:sz w:val="20"/>
        </w:rPr>
        <w:t>ecodesign requirements</w:t>
      </w:r>
      <w:r w:rsidR="005602D1">
        <w:rPr>
          <w:rFonts w:ascii="Verdana" w:hAnsi="Verdana" w:cs="Segoe UI"/>
          <w:color w:val="262626" w:themeColor="text1" w:themeTint="D9"/>
          <w:sz w:val="20"/>
        </w:rPr>
        <w:t>:</w:t>
      </w:r>
    </w:p>
    <w:p w14:paraId="7E1861C0" w14:textId="77777777" w:rsidR="009B70E5" w:rsidRPr="00C57D4B" w:rsidRDefault="009B70E5" w:rsidP="00C57D4B">
      <w:pPr>
        <w:numPr>
          <w:ilvl w:val="0"/>
          <w:numId w:val="54"/>
        </w:numPr>
        <w:shd w:val="clear" w:color="auto" w:fill="FFFFFF"/>
        <w:spacing w:after="0" w:line="293" w:lineRule="atLeast"/>
        <w:rPr>
          <w:rFonts w:ascii="Verdana" w:hAnsi="Verdana" w:cs="Segoe UI"/>
          <w:color w:val="262626" w:themeColor="text1" w:themeTint="D9"/>
          <w:sz w:val="20"/>
        </w:rPr>
      </w:pPr>
      <w:r w:rsidRPr="00C57D4B">
        <w:rPr>
          <w:rFonts w:ascii="Verdana" w:hAnsi="Verdana" w:cs="Segoe UI"/>
          <w:color w:val="262626" w:themeColor="text1" w:themeTint="D9"/>
          <w:sz w:val="20"/>
        </w:rPr>
        <w:t>covering direct greenhouse gas emissions related to refrigerants;</w:t>
      </w:r>
    </w:p>
    <w:p w14:paraId="086B01FB" w14:textId="77777777" w:rsidR="009B70E5" w:rsidRPr="00C57D4B" w:rsidRDefault="009B70E5" w:rsidP="00C57D4B">
      <w:pPr>
        <w:numPr>
          <w:ilvl w:val="0"/>
          <w:numId w:val="54"/>
        </w:numPr>
        <w:shd w:val="clear" w:color="auto" w:fill="FFFFFF"/>
        <w:spacing w:after="0" w:line="293" w:lineRule="atLeast"/>
        <w:rPr>
          <w:rFonts w:ascii="Verdana" w:hAnsi="Verdana" w:cs="Segoe UI"/>
          <w:color w:val="262626" w:themeColor="text1" w:themeTint="D9"/>
          <w:sz w:val="20"/>
        </w:rPr>
      </w:pPr>
      <w:r w:rsidRPr="00C57D4B">
        <w:rPr>
          <w:rFonts w:ascii="Verdana" w:hAnsi="Verdana" w:cs="Segoe UI"/>
          <w:color w:val="262626" w:themeColor="text1" w:themeTint="D9"/>
          <w:sz w:val="20"/>
        </w:rPr>
        <w:t>for condensing units with a rated cooling capacity lower than 0,1 kW at low temperature and 0,2 kW at medium temperature and condensing units with a rated cooling capacity higher than 20 kW at low temperature and 50 kW at medium temperature;</w:t>
      </w:r>
    </w:p>
    <w:p w14:paraId="0C37BE26" w14:textId="77777777" w:rsidR="009B70E5" w:rsidRPr="00C57D4B" w:rsidRDefault="009B70E5" w:rsidP="00C57D4B">
      <w:pPr>
        <w:numPr>
          <w:ilvl w:val="0"/>
          <w:numId w:val="54"/>
        </w:numPr>
        <w:shd w:val="clear" w:color="auto" w:fill="FFFFFF"/>
        <w:spacing w:after="0" w:line="293" w:lineRule="atLeast"/>
        <w:rPr>
          <w:rFonts w:ascii="Verdana" w:hAnsi="Verdana" w:cs="Segoe UI"/>
          <w:color w:val="262626" w:themeColor="text1" w:themeTint="D9"/>
          <w:sz w:val="20"/>
        </w:rPr>
      </w:pPr>
      <w:r w:rsidRPr="00C57D4B">
        <w:rPr>
          <w:rFonts w:ascii="Verdana" w:hAnsi="Verdana" w:cs="Segoe UI"/>
          <w:color w:val="262626" w:themeColor="text1" w:themeTint="D9"/>
          <w:sz w:val="20"/>
        </w:rPr>
        <w:t>for condensing units sold with an evaporator, compressor packs and racks which do not include a condenser, and condensing units which do not use air as heat transfer medium for the condenser;</w:t>
      </w:r>
    </w:p>
    <w:p w14:paraId="5186619D" w14:textId="77777777" w:rsidR="009B70E5" w:rsidRPr="00C57D4B" w:rsidRDefault="009B70E5" w:rsidP="00C57D4B">
      <w:pPr>
        <w:numPr>
          <w:ilvl w:val="0"/>
          <w:numId w:val="54"/>
        </w:numPr>
        <w:shd w:val="clear" w:color="auto" w:fill="FFFFFF"/>
        <w:spacing w:after="0" w:line="293" w:lineRule="atLeast"/>
        <w:rPr>
          <w:rFonts w:ascii="Verdana" w:hAnsi="Verdana" w:cs="Segoe UI"/>
          <w:color w:val="262626" w:themeColor="text1" w:themeTint="D9"/>
          <w:sz w:val="20"/>
        </w:rPr>
      </w:pPr>
      <w:proofErr w:type="gramStart"/>
      <w:r w:rsidRPr="00C57D4B">
        <w:rPr>
          <w:rFonts w:ascii="Verdana" w:hAnsi="Verdana" w:cs="Segoe UI"/>
          <w:color w:val="262626" w:themeColor="text1" w:themeTint="D9"/>
          <w:sz w:val="20"/>
        </w:rPr>
        <w:t>for</w:t>
      </w:r>
      <w:proofErr w:type="gramEnd"/>
      <w:r w:rsidRPr="00C57D4B">
        <w:rPr>
          <w:rFonts w:ascii="Verdana" w:hAnsi="Verdana" w:cs="Segoe UI"/>
          <w:color w:val="262626" w:themeColor="text1" w:themeTint="D9"/>
          <w:sz w:val="20"/>
        </w:rPr>
        <w:t xml:space="preserve"> process chillers using evaporative condensing and process chillers using absorption technology.</w:t>
      </w:r>
    </w:p>
    <w:p w14:paraId="47A4B264" w14:textId="134A1469" w:rsidR="00561732" w:rsidRPr="00C57D4B" w:rsidRDefault="00561732" w:rsidP="00C57D4B">
      <w:pPr>
        <w:shd w:val="clear" w:color="auto" w:fill="FFFFFF"/>
        <w:spacing w:after="0" w:line="293" w:lineRule="atLeast"/>
        <w:ind w:left="720"/>
        <w:rPr>
          <w:rFonts w:ascii="Verdana" w:hAnsi="Verdana" w:cs="Segoe UI"/>
          <w:color w:val="262626" w:themeColor="text1" w:themeTint="D9"/>
          <w:sz w:val="20"/>
        </w:rPr>
      </w:pPr>
    </w:p>
    <w:p w14:paraId="426F0D1A" w14:textId="78789979" w:rsidR="004418B6" w:rsidRPr="00C57D4B" w:rsidRDefault="004418B6" w:rsidP="00C57D4B">
      <w:pPr>
        <w:shd w:val="clear" w:color="auto" w:fill="FFFFFF"/>
        <w:spacing w:after="0" w:line="293" w:lineRule="atLeast"/>
        <w:rPr>
          <w:rFonts w:ascii="Verdana" w:hAnsi="Verdana" w:cs="Segoe UI"/>
          <w:color w:val="262626" w:themeColor="text1" w:themeTint="D9"/>
          <w:sz w:val="20"/>
        </w:rPr>
      </w:pPr>
      <w:r w:rsidRPr="00C57D4B">
        <w:rPr>
          <w:rFonts w:ascii="Verdana" w:hAnsi="Verdana" w:cs="Segoe UI"/>
          <w:color w:val="262626" w:themeColor="text1" w:themeTint="D9"/>
          <w:sz w:val="20"/>
        </w:rPr>
        <w:t>Furthermore, the review study address</w:t>
      </w:r>
      <w:r w:rsidR="00C20711" w:rsidRPr="00C57D4B">
        <w:rPr>
          <w:rFonts w:ascii="Verdana" w:hAnsi="Verdana" w:cs="Segoe UI"/>
          <w:color w:val="262626" w:themeColor="text1" w:themeTint="D9"/>
          <w:sz w:val="20"/>
        </w:rPr>
        <w:t>es</w:t>
      </w:r>
      <w:r w:rsidRPr="00C57D4B">
        <w:rPr>
          <w:rFonts w:ascii="Verdana" w:hAnsi="Verdana" w:cs="Segoe UI"/>
          <w:color w:val="262626" w:themeColor="text1" w:themeTint="D9"/>
          <w:sz w:val="20"/>
        </w:rPr>
        <w:t xml:space="preserve"> questions regarding definitions and standards, i.e.</w:t>
      </w:r>
    </w:p>
    <w:p w14:paraId="76A5E4D3" w14:textId="77777777" w:rsidR="004418B6" w:rsidRPr="00C57D4B" w:rsidRDefault="004418B6" w:rsidP="00C57D4B">
      <w:pPr>
        <w:numPr>
          <w:ilvl w:val="0"/>
          <w:numId w:val="54"/>
        </w:numPr>
        <w:shd w:val="clear" w:color="auto" w:fill="FFFFFF"/>
        <w:spacing w:after="0" w:line="293" w:lineRule="atLeast"/>
        <w:rPr>
          <w:rFonts w:ascii="Verdana" w:hAnsi="Verdana" w:cs="Segoe UI"/>
          <w:color w:val="262626" w:themeColor="text1" w:themeTint="D9"/>
          <w:sz w:val="20"/>
        </w:rPr>
      </w:pPr>
      <w:r w:rsidRPr="00C57D4B">
        <w:rPr>
          <w:rFonts w:ascii="Verdana" w:hAnsi="Verdana" w:cs="Segoe UI"/>
          <w:color w:val="262626" w:themeColor="text1" w:themeTint="D9"/>
          <w:sz w:val="20"/>
        </w:rPr>
        <w:t>for chillers:</w:t>
      </w:r>
    </w:p>
    <w:p w14:paraId="55485EFF" w14:textId="2DF6429B" w:rsidR="004418B6" w:rsidRPr="00C57D4B" w:rsidRDefault="004418B6" w:rsidP="00C57D4B">
      <w:pPr>
        <w:numPr>
          <w:ilvl w:val="1"/>
          <w:numId w:val="51"/>
        </w:numPr>
        <w:shd w:val="clear" w:color="auto" w:fill="FFFFFF"/>
        <w:spacing w:after="0" w:line="293" w:lineRule="atLeast"/>
        <w:rPr>
          <w:rFonts w:ascii="Verdana" w:hAnsi="Verdana" w:cs="Segoe UI"/>
          <w:color w:val="262626" w:themeColor="text1" w:themeTint="D9"/>
          <w:sz w:val="20"/>
        </w:rPr>
      </w:pPr>
      <w:r w:rsidRPr="00C57D4B">
        <w:rPr>
          <w:rFonts w:ascii="Verdana" w:hAnsi="Verdana" w:cs="Segoe UI"/>
          <w:color w:val="262626" w:themeColor="text1" w:themeTint="D9"/>
          <w:sz w:val="20"/>
        </w:rPr>
        <w:t>analysis of the suitability of the inclusion in the Ecodesign Regulation of chillers working with CO</w:t>
      </w:r>
      <w:r w:rsidRPr="00CE3DEA">
        <w:rPr>
          <w:rFonts w:ascii="Verdana" w:hAnsi="Verdana" w:cs="Segoe UI"/>
          <w:color w:val="262626" w:themeColor="text1" w:themeTint="D9"/>
          <w:sz w:val="20"/>
          <w:vertAlign w:val="subscript"/>
        </w:rPr>
        <w:t>2</w:t>
      </w:r>
      <w:r w:rsidRPr="00C57D4B">
        <w:rPr>
          <w:rFonts w:ascii="Verdana" w:hAnsi="Verdana" w:cs="Segoe UI"/>
          <w:color w:val="262626" w:themeColor="text1" w:themeTint="D9"/>
          <w:sz w:val="20"/>
        </w:rPr>
        <w:t xml:space="preserve"> </w:t>
      </w:r>
      <w:proofErr w:type="spellStart"/>
      <w:r w:rsidRPr="00C57D4B">
        <w:rPr>
          <w:rFonts w:ascii="Verdana" w:hAnsi="Verdana" w:cs="Segoe UI"/>
          <w:color w:val="262626" w:themeColor="text1" w:themeTint="D9"/>
          <w:sz w:val="20"/>
        </w:rPr>
        <w:t>transcritical</w:t>
      </w:r>
      <w:proofErr w:type="spellEnd"/>
      <w:r w:rsidRPr="00C57D4B">
        <w:rPr>
          <w:rFonts w:ascii="Verdana" w:hAnsi="Verdana" w:cs="Segoe UI"/>
          <w:color w:val="262626" w:themeColor="text1" w:themeTint="D9"/>
          <w:sz w:val="20"/>
        </w:rPr>
        <w:t xml:space="preserve"> systems;</w:t>
      </w:r>
    </w:p>
    <w:p w14:paraId="54714FA7" w14:textId="414103CC" w:rsidR="004418B6" w:rsidRPr="00C57D4B" w:rsidRDefault="004418B6" w:rsidP="00C57D4B">
      <w:pPr>
        <w:numPr>
          <w:ilvl w:val="1"/>
          <w:numId w:val="51"/>
        </w:numPr>
        <w:shd w:val="clear" w:color="auto" w:fill="FFFFFF"/>
        <w:spacing w:after="0" w:line="293" w:lineRule="atLeast"/>
        <w:rPr>
          <w:rFonts w:ascii="Verdana" w:hAnsi="Verdana" w:cs="Segoe UI"/>
          <w:color w:val="262626" w:themeColor="text1" w:themeTint="D9"/>
          <w:sz w:val="20"/>
        </w:rPr>
      </w:pPr>
      <w:r w:rsidRPr="00C57D4B">
        <w:rPr>
          <w:rFonts w:ascii="Verdana" w:hAnsi="Verdana" w:cs="Segoe UI"/>
          <w:color w:val="262626" w:themeColor="text1" w:themeTint="D9"/>
          <w:sz w:val="20"/>
        </w:rPr>
        <w:t>clarification of the scope for chillers with high viscous fluids as process cooling liquids;</w:t>
      </w:r>
    </w:p>
    <w:p w14:paraId="1A098C8B" w14:textId="362EB579" w:rsidR="004418B6" w:rsidRPr="00C57D4B" w:rsidRDefault="004418B6" w:rsidP="00C57D4B">
      <w:pPr>
        <w:numPr>
          <w:ilvl w:val="0"/>
          <w:numId w:val="54"/>
        </w:numPr>
        <w:shd w:val="clear" w:color="auto" w:fill="FFFFFF"/>
        <w:spacing w:after="0" w:line="293" w:lineRule="atLeast"/>
        <w:rPr>
          <w:rFonts w:ascii="Verdana" w:hAnsi="Verdana" w:cs="Segoe UI"/>
          <w:color w:val="262626" w:themeColor="text1" w:themeTint="D9"/>
          <w:sz w:val="20"/>
        </w:rPr>
      </w:pPr>
      <w:r w:rsidRPr="00C57D4B">
        <w:rPr>
          <w:rFonts w:ascii="Verdana" w:hAnsi="Verdana" w:cs="Segoe UI"/>
          <w:color w:val="262626" w:themeColor="text1" w:themeTint="D9"/>
          <w:sz w:val="20"/>
        </w:rPr>
        <w:t>for condensing units: possibility to introduce, in the Ecodesign Regulation, the testing and calculation approach for the determination of the evaporating temperature with refrigerant mixtures, as under EN 13215:2016+A1:2020</w:t>
      </w:r>
      <w:r w:rsidRPr="00C57D4B">
        <w:rPr>
          <w:rStyle w:val="FootnoteReference"/>
          <w:rFonts w:ascii="Verdana" w:hAnsi="Verdana" w:cs="Segoe UI"/>
          <w:color w:val="262626" w:themeColor="text1" w:themeTint="D9"/>
        </w:rPr>
        <w:footnoteReference w:id="36"/>
      </w:r>
      <w:r w:rsidRPr="00C57D4B">
        <w:rPr>
          <w:rFonts w:ascii="Verdana" w:hAnsi="Verdana" w:cs="Segoe UI"/>
          <w:color w:val="262626" w:themeColor="text1" w:themeTint="D9"/>
          <w:sz w:val="20"/>
        </w:rPr>
        <w:t>;</w:t>
      </w:r>
    </w:p>
    <w:p w14:paraId="38F4BA8D" w14:textId="32AB5038" w:rsidR="00C20711" w:rsidRPr="00C57D4B" w:rsidRDefault="00C20711" w:rsidP="00C57D4B">
      <w:pPr>
        <w:shd w:val="clear" w:color="auto" w:fill="FFFFFF"/>
        <w:spacing w:after="0" w:line="293" w:lineRule="atLeast"/>
        <w:rPr>
          <w:rFonts w:ascii="Verdana" w:hAnsi="Verdana" w:cs="Segoe UI"/>
          <w:color w:val="262626" w:themeColor="text1" w:themeTint="D9"/>
          <w:sz w:val="20"/>
        </w:rPr>
      </w:pPr>
    </w:p>
    <w:p w14:paraId="713138D3" w14:textId="77777777" w:rsidR="00C20711" w:rsidRPr="00C57D4B" w:rsidRDefault="00C20711" w:rsidP="00C57D4B">
      <w:pPr>
        <w:shd w:val="clear" w:color="auto" w:fill="FFFFFF"/>
        <w:spacing w:after="0" w:line="293" w:lineRule="atLeast"/>
        <w:rPr>
          <w:rFonts w:ascii="Verdana" w:hAnsi="Verdana" w:cs="Segoe UI"/>
          <w:color w:val="262626" w:themeColor="text1" w:themeTint="D9"/>
          <w:sz w:val="20"/>
        </w:rPr>
      </w:pPr>
    </w:p>
    <w:p w14:paraId="35E005EC" w14:textId="5B661065" w:rsidR="009B70E5" w:rsidRPr="00C57D4B" w:rsidRDefault="004418B6" w:rsidP="00CE3DEA">
      <w:pPr>
        <w:pStyle w:val="Heading2"/>
        <w:tabs>
          <w:tab w:val="clear" w:pos="1712"/>
        </w:tabs>
      </w:pPr>
      <w:r w:rsidRPr="00C57D4B">
        <w:t>Study methodology and consultations</w:t>
      </w:r>
    </w:p>
    <w:p w14:paraId="15564956" w14:textId="0259B360" w:rsidR="007829F7" w:rsidRPr="00C57D4B" w:rsidRDefault="004418B6" w:rsidP="00C57D4B">
      <w:pPr>
        <w:shd w:val="clear" w:color="auto" w:fill="FFFFFF"/>
        <w:spacing w:after="0" w:line="293" w:lineRule="atLeast"/>
        <w:rPr>
          <w:rFonts w:ascii="Verdana" w:hAnsi="Verdana"/>
          <w:color w:val="262626" w:themeColor="text1" w:themeTint="D9"/>
          <w:sz w:val="20"/>
        </w:rPr>
      </w:pPr>
      <w:r w:rsidRPr="00C57D4B">
        <w:rPr>
          <w:rFonts w:ascii="Verdana" w:hAnsi="Verdana" w:cs="Segoe UI"/>
          <w:color w:val="262626" w:themeColor="text1" w:themeTint="D9"/>
          <w:sz w:val="20"/>
        </w:rPr>
        <w:t xml:space="preserve">Answers to the questions from Phase 1.1 </w:t>
      </w:r>
      <w:proofErr w:type="gramStart"/>
      <w:r w:rsidRPr="00C57D4B">
        <w:rPr>
          <w:rFonts w:ascii="Verdana" w:hAnsi="Verdana" w:cs="Segoe UI"/>
          <w:color w:val="262626" w:themeColor="text1" w:themeTint="D9"/>
          <w:sz w:val="20"/>
        </w:rPr>
        <w:t>are integrated</w:t>
      </w:r>
      <w:proofErr w:type="gramEnd"/>
      <w:r w:rsidRPr="00C57D4B">
        <w:rPr>
          <w:rFonts w:ascii="Verdana" w:hAnsi="Verdana" w:cs="Segoe UI"/>
          <w:color w:val="262626" w:themeColor="text1" w:themeTint="D9"/>
          <w:sz w:val="20"/>
        </w:rPr>
        <w:t xml:space="preserve"> at appropriate places in the reporting for </w:t>
      </w:r>
      <w:r w:rsidR="006978EF" w:rsidRPr="00C57D4B">
        <w:rPr>
          <w:rFonts w:ascii="Verdana" w:hAnsi="Verdana" w:cs="Segoe UI"/>
          <w:color w:val="262626" w:themeColor="text1" w:themeTint="D9"/>
          <w:sz w:val="20"/>
        </w:rPr>
        <w:t xml:space="preserve">the </w:t>
      </w:r>
      <w:r w:rsidR="00080E5E" w:rsidRPr="00C57D4B">
        <w:rPr>
          <w:rFonts w:ascii="Verdana" w:hAnsi="Verdana" w:cs="Segoe UI"/>
          <w:color w:val="262626" w:themeColor="text1" w:themeTint="D9"/>
          <w:sz w:val="20"/>
        </w:rPr>
        <w:t>update of the preparatory study</w:t>
      </w:r>
      <w:r w:rsidR="006978EF" w:rsidRPr="00C57D4B">
        <w:rPr>
          <w:rFonts w:ascii="Verdana" w:hAnsi="Verdana" w:cs="Segoe UI"/>
          <w:color w:val="262626" w:themeColor="text1" w:themeTint="D9"/>
          <w:sz w:val="20"/>
        </w:rPr>
        <w:t xml:space="preserve"> (Phase 1.2). The latter is particularly</w:t>
      </w:r>
      <w:r w:rsidR="00080E5E" w:rsidRPr="00C57D4B">
        <w:rPr>
          <w:rFonts w:ascii="Verdana" w:hAnsi="Verdana" w:cs="Segoe UI"/>
          <w:color w:val="262626" w:themeColor="text1" w:themeTint="D9"/>
          <w:sz w:val="20"/>
        </w:rPr>
        <w:t xml:space="preserve"> relevant for the question whether the current limits and energy classification </w:t>
      </w:r>
      <w:proofErr w:type="gramStart"/>
      <w:r w:rsidR="00080E5E" w:rsidRPr="00C57D4B">
        <w:rPr>
          <w:rFonts w:ascii="Verdana" w:hAnsi="Verdana" w:cs="Segoe UI"/>
          <w:color w:val="262626" w:themeColor="text1" w:themeTint="D9"/>
          <w:sz w:val="20"/>
        </w:rPr>
        <w:t>can be made</w:t>
      </w:r>
      <w:proofErr w:type="gramEnd"/>
      <w:r w:rsidR="00080E5E" w:rsidRPr="00C57D4B">
        <w:rPr>
          <w:rFonts w:ascii="Verdana" w:hAnsi="Verdana" w:cs="Segoe UI"/>
          <w:color w:val="262626" w:themeColor="text1" w:themeTint="D9"/>
          <w:sz w:val="20"/>
        </w:rPr>
        <w:t xml:space="preserve"> more ambitious, </w:t>
      </w:r>
      <w:r w:rsidR="007829F7" w:rsidRPr="00C57D4B">
        <w:rPr>
          <w:rFonts w:ascii="Verdana" w:hAnsi="Verdana"/>
          <w:color w:val="262626" w:themeColor="text1" w:themeTint="D9"/>
          <w:sz w:val="20"/>
        </w:rPr>
        <w:t>follows the MEErP methodology and includes</w:t>
      </w:r>
      <w:r w:rsidR="00160BB1">
        <w:rPr>
          <w:rFonts w:ascii="Verdana" w:hAnsi="Verdana"/>
          <w:color w:val="262626" w:themeColor="text1" w:themeTint="D9"/>
          <w:sz w:val="20"/>
        </w:rPr>
        <w:t>:</w:t>
      </w:r>
    </w:p>
    <w:p w14:paraId="33CC9B2F" w14:textId="77777777" w:rsidR="00080E5E" w:rsidRPr="00C57D4B" w:rsidRDefault="00080E5E" w:rsidP="00C57D4B">
      <w:pPr>
        <w:shd w:val="clear" w:color="auto" w:fill="FFFFFF"/>
        <w:spacing w:after="0" w:line="293" w:lineRule="atLeast"/>
        <w:rPr>
          <w:rFonts w:ascii="Verdana" w:hAnsi="Verdana"/>
          <w:color w:val="262626" w:themeColor="text1" w:themeTint="D9"/>
          <w:sz w:val="20"/>
        </w:rPr>
      </w:pPr>
    </w:p>
    <w:p w14:paraId="558396A6" w14:textId="77777777" w:rsidR="007829F7" w:rsidRPr="00C57D4B" w:rsidRDefault="007829F7" w:rsidP="00C57D4B">
      <w:pPr>
        <w:spacing w:after="0" w:line="276" w:lineRule="auto"/>
        <w:rPr>
          <w:rFonts w:ascii="Verdana" w:hAnsi="Verdana"/>
          <w:color w:val="262626" w:themeColor="text1" w:themeTint="D9"/>
          <w:sz w:val="20"/>
        </w:rPr>
      </w:pPr>
      <w:r w:rsidRPr="00C57D4B">
        <w:rPr>
          <w:rFonts w:ascii="Verdana" w:hAnsi="Verdana"/>
          <w:color w:val="262626" w:themeColor="text1" w:themeTint="D9"/>
          <w:sz w:val="20"/>
        </w:rPr>
        <w:t>Task 1 – Scope (definitions, standards and legislation);</w:t>
      </w:r>
    </w:p>
    <w:p w14:paraId="34374867" w14:textId="77777777" w:rsidR="007829F7" w:rsidRPr="00C57D4B" w:rsidRDefault="007829F7" w:rsidP="00C57D4B">
      <w:pPr>
        <w:spacing w:after="0" w:line="276" w:lineRule="auto"/>
        <w:rPr>
          <w:rFonts w:ascii="Verdana" w:hAnsi="Verdana"/>
          <w:color w:val="262626" w:themeColor="text1" w:themeTint="D9"/>
          <w:sz w:val="20"/>
        </w:rPr>
      </w:pPr>
      <w:r w:rsidRPr="00C57D4B">
        <w:rPr>
          <w:rFonts w:ascii="Verdana" w:hAnsi="Verdana"/>
          <w:color w:val="262626" w:themeColor="text1" w:themeTint="D9"/>
          <w:sz w:val="20"/>
        </w:rPr>
        <w:t>Task 2 – Markets (volumes and prices);</w:t>
      </w:r>
    </w:p>
    <w:p w14:paraId="47E1790D" w14:textId="77777777" w:rsidR="007829F7" w:rsidRPr="00C57D4B" w:rsidRDefault="007829F7" w:rsidP="00C57D4B">
      <w:pPr>
        <w:spacing w:after="0" w:line="276" w:lineRule="auto"/>
        <w:rPr>
          <w:rFonts w:ascii="Verdana" w:hAnsi="Verdana"/>
          <w:color w:val="262626" w:themeColor="text1" w:themeTint="D9"/>
          <w:sz w:val="20"/>
        </w:rPr>
      </w:pPr>
      <w:r w:rsidRPr="00C57D4B">
        <w:rPr>
          <w:rFonts w:ascii="Verdana" w:hAnsi="Verdana"/>
          <w:color w:val="262626" w:themeColor="text1" w:themeTint="D9"/>
          <w:sz w:val="20"/>
        </w:rPr>
        <w:t>Task 3 – Users (product demand side);</w:t>
      </w:r>
    </w:p>
    <w:p w14:paraId="2FEDB533" w14:textId="14665A30" w:rsidR="007829F7" w:rsidRPr="00C57D4B" w:rsidRDefault="007829F7" w:rsidP="00C57D4B">
      <w:pPr>
        <w:spacing w:after="0" w:line="276" w:lineRule="auto"/>
        <w:rPr>
          <w:rFonts w:ascii="Verdana" w:hAnsi="Verdana"/>
          <w:color w:val="262626" w:themeColor="text1" w:themeTint="D9"/>
          <w:sz w:val="20"/>
        </w:rPr>
      </w:pPr>
      <w:r w:rsidRPr="00C57D4B">
        <w:rPr>
          <w:rFonts w:ascii="Verdana" w:hAnsi="Verdana"/>
          <w:color w:val="262626" w:themeColor="text1" w:themeTint="D9"/>
          <w:sz w:val="20"/>
        </w:rPr>
        <w:t>Task 4 – Technologies (product supply side, includes Best Available Technology BAT);</w:t>
      </w:r>
    </w:p>
    <w:p w14:paraId="4D4D3853" w14:textId="0CBDA6DB" w:rsidR="007829F7" w:rsidRPr="00C57D4B" w:rsidRDefault="007829F7" w:rsidP="00C57D4B">
      <w:pPr>
        <w:spacing w:after="0" w:line="276" w:lineRule="auto"/>
        <w:rPr>
          <w:rFonts w:ascii="Verdana" w:hAnsi="Verdana"/>
          <w:color w:val="262626" w:themeColor="text1" w:themeTint="D9"/>
          <w:sz w:val="20"/>
        </w:rPr>
      </w:pPr>
      <w:r w:rsidRPr="00C57D4B">
        <w:rPr>
          <w:rFonts w:ascii="Verdana" w:hAnsi="Verdana"/>
          <w:color w:val="262626" w:themeColor="text1" w:themeTint="D9"/>
          <w:sz w:val="20"/>
        </w:rPr>
        <w:t>Task 5 – Environment &amp; Economics (Base case, Life Cycle Analysis &amp; Life Cycle Costs);</w:t>
      </w:r>
    </w:p>
    <w:p w14:paraId="267696FB" w14:textId="77777777" w:rsidR="007829F7" w:rsidRPr="00C57D4B" w:rsidRDefault="007829F7" w:rsidP="00C57D4B">
      <w:pPr>
        <w:spacing w:after="0" w:line="276" w:lineRule="auto"/>
        <w:rPr>
          <w:rFonts w:ascii="Verdana" w:hAnsi="Verdana"/>
          <w:color w:val="262626" w:themeColor="text1" w:themeTint="D9"/>
          <w:sz w:val="20"/>
        </w:rPr>
      </w:pPr>
      <w:r w:rsidRPr="00C57D4B">
        <w:rPr>
          <w:rFonts w:ascii="Verdana" w:hAnsi="Verdana"/>
          <w:color w:val="262626" w:themeColor="text1" w:themeTint="D9"/>
          <w:sz w:val="20"/>
        </w:rPr>
        <w:t xml:space="preserve">Task </w:t>
      </w:r>
      <w:proofErr w:type="gramStart"/>
      <w:r w:rsidRPr="00C57D4B">
        <w:rPr>
          <w:rFonts w:ascii="Verdana" w:hAnsi="Verdana"/>
          <w:color w:val="262626" w:themeColor="text1" w:themeTint="D9"/>
          <w:sz w:val="20"/>
        </w:rPr>
        <w:t>6</w:t>
      </w:r>
      <w:proofErr w:type="gramEnd"/>
      <w:r w:rsidRPr="00C57D4B">
        <w:rPr>
          <w:rFonts w:ascii="Verdana" w:hAnsi="Verdana"/>
          <w:color w:val="262626" w:themeColor="text1" w:themeTint="D9"/>
          <w:sz w:val="20"/>
        </w:rPr>
        <w:t xml:space="preserve"> – Design options;</w:t>
      </w:r>
    </w:p>
    <w:p w14:paraId="6A89B6B1" w14:textId="450DCC4A" w:rsidR="007829F7" w:rsidRPr="00C57D4B" w:rsidRDefault="007829F7" w:rsidP="00657386">
      <w:pPr>
        <w:spacing w:after="0" w:line="276" w:lineRule="auto"/>
        <w:rPr>
          <w:rFonts w:ascii="Verdana" w:hAnsi="Verdana"/>
          <w:color w:val="262626" w:themeColor="text1" w:themeTint="D9"/>
          <w:sz w:val="20"/>
        </w:rPr>
      </w:pPr>
      <w:r w:rsidRPr="00C57D4B">
        <w:rPr>
          <w:rFonts w:ascii="Verdana" w:hAnsi="Verdana"/>
          <w:color w:val="262626" w:themeColor="text1" w:themeTint="D9"/>
          <w:sz w:val="20"/>
        </w:rPr>
        <w:t xml:space="preserve">Task </w:t>
      </w:r>
      <w:proofErr w:type="gramStart"/>
      <w:r w:rsidRPr="00C57D4B">
        <w:rPr>
          <w:rFonts w:ascii="Verdana" w:hAnsi="Verdana"/>
          <w:color w:val="262626" w:themeColor="text1" w:themeTint="D9"/>
          <w:sz w:val="20"/>
        </w:rPr>
        <w:t>7</w:t>
      </w:r>
      <w:proofErr w:type="gramEnd"/>
      <w:r w:rsidRPr="00C57D4B">
        <w:rPr>
          <w:rFonts w:ascii="Verdana" w:hAnsi="Verdana"/>
          <w:color w:val="262626" w:themeColor="text1" w:themeTint="D9"/>
          <w:sz w:val="20"/>
        </w:rPr>
        <w:t xml:space="preserve"> – Scenarios (Policy, scenario, impact and sensitivity analysis).</w:t>
      </w:r>
    </w:p>
    <w:p w14:paraId="3D6306A7" w14:textId="77777777" w:rsidR="007829F7" w:rsidRPr="00C57D4B" w:rsidRDefault="007829F7" w:rsidP="00C57D4B">
      <w:pPr>
        <w:spacing w:after="0" w:line="276" w:lineRule="auto"/>
        <w:rPr>
          <w:rFonts w:ascii="Verdana" w:hAnsi="Verdana"/>
          <w:color w:val="262626" w:themeColor="text1" w:themeTint="D9"/>
          <w:sz w:val="20"/>
        </w:rPr>
      </w:pPr>
    </w:p>
    <w:p w14:paraId="1C59A59D" w14:textId="4F2E5DF1" w:rsidR="001C23D1" w:rsidRPr="00C57D4B" w:rsidRDefault="006978EF" w:rsidP="00657386">
      <w:pPr>
        <w:spacing w:line="276" w:lineRule="auto"/>
        <w:rPr>
          <w:rFonts w:ascii="Verdana" w:hAnsi="Verdana"/>
          <w:color w:val="262626" w:themeColor="text1" w:themeTint="D9"/>
          <w:sz w:val="20"/>
        </w:rPr>
      </w:pPr>
      <w:r w:rsidRPr="00C57D4B">
        <w:rPr>
          <w:rFonts w:ascii="Verdana" w:hAnsi="Verdana"/>
          <w:color w:val="262626" w:themeColor="text1" w:themeTint="D9"/>
          <w:sz w:val="20"/>
        </w:rPr>
        <w:t>Phases 1.1 and 1.2</w:t>
      </w:r>
      <w:r w:rsidR="001C23D1" w:rsidRPr="00C57D4B">
        <w:rPr>
          <w:rFonts w:ascii="Verdana" w:hAnsi="Verdana"/>
          <w:color w:val="262626" w:themeColor="text1" w:themeTint="D9"/>
          <w:sz w:val="20"/>
        </w:rPr>
        <w:t xml:space="preserve"> </w:t>
      </w:r>
      <w:proofErr w:type="gramStart"/>
      <w:r w:rsidR="00080E5E" w:rsidRPr="00C57D4B">
        <w:rPr>
          <w:rFonts w:ascii="Verdana" w:hAnsi="Verdana"/>
          <w:color w:val="262626" w:themeColor="text1" w:themeTint="D9"/>
          <w:sz w:val="20"/>
        </w:rPr>
        <w:t>are</w:t>
      </w:r>
      <w:r w:rsidR="001C23D1" w:rsidRPr="00C57D4B">
        <w:rPr>
          <w:rFonts w:ascii="Verdana" w:hAnsi="Verdana"/>
          <w:color w:val="262626" w:themeColor="text1" w:themeTint="D9"/>
          <w:sz w:val="20"/>
        </w:rPr>
        <w:t xml:space="preserve"> executed</w:t>
      </w:r>
      <w:proofErr w:type="gramEnd"/>
      <w:r w:rsidR="001C23D1" w:rsidRPr="00C57D4B">
        <w:rPr>
          <w:rFonts w:ascii="Verdana" w:hAnsi="Verdana"/>
          <w:color w:val="262626" w:themeColor="text1" w:themeTint="D9"/>
          <w:sz w:val="20"/>
        </w:rPr>
        <w:t xml:space="preserve"> in parallel and entail, amongst others, two plenary stakeholder meetings (</w:t>
      </w:r>
      <w:r w:rsidR="00160BB1">
        <w:rPr>
          <w:rFonts w:ascii="Verdana" w:hAnsi="Verdana"/>
          <w:color w:val="262626" w:themeColor="text1" w:themeTint="D9"/>
          <w:sz w:val="20"/>
        </w:rPr>
        <w:t xml:space="preserve">held in </w:t>
      </w:r>
      <w:r w:rsidR="001C23D1" w:rsidRPr="00C57D4B">
        <w:rPr>
          <w:rFonts w:ascii="Verdana" w:hAnsi="Verdana"/>
          <w:color w:val="262626" w:themeColor="text1" w:themeTint="D9"/>
          <w:sz w:val="20"/>
        </w:rPr>
        <w:t>February 2021</w:t>
      </w:r>
      <w:r w:rsidR="00DA6965" w:rsidRPr="00C57D4B">
        <w:rPr>
          <w:rFonts w:ascii="Verdana" w:hAnsi="Verdana"/>
          <w:color w:val="262626" w:themeColor="text1" w:themeTint="D9"/>
          <w:sz w:val="20"/>
        </w:rPr>
        <w:t xml:space="preserve"> </w:t>
      </w:r>
      <w:r w:rsidR="001C23D1" w:rsidRPr="00C57D4B">
        <w:rPr>
          <w:rFonts w:ascii="Verdana" w:hAnsi="Verdana"/>
          <w:color w:val="262626" w:themeColor="text1" w:themeTint="D9"/>
          <w:sz w:val="20"/>
        </w:rPr>
        <w:t xml:space="preserve">and January 2022), bilateral meetings and extensive desk research by the consultants. The draft review report and all documents of stakeholders and the study group leading up to that report </w:t>
      </w:r>
      <w:proofErr w:type="gramStart"/>
      <w:r w:rsidR="001C23D1" w:rsidRPr="00C57D4B">
        <w:rPr>
          <w:rFonts w:ascii="Verdana" w:hAnsi="Verdana"/>
          <w:color w:val="262626" w:themeColor="text1" w:themeTint="D9"/>
          <w:sz w:val="20"/>
        </w:rPr>
        <w:t>can be found</w:t>
      </w:r>
      <w:proofErr w:type="gramEnd"/>
      <w:r w:rsidR="001C23D1" w:rsidRPr="00C57D4B">
        <w:rPr>
          <w:rFonts w:ascii="Verdana" w:hAnsi="Verdana"/>
          <w:color w:val="262626" w:themeColor="text1" w:themeTint="D9"/>
          <w:sz w:val="20"/>
        </w:rPr>
        <w:t xml:space="preserve"> on the project </w:t>
      </w:r>
      <w:r w:rsidR="001C23D1" w:rsidRPr="00C57D4B">
        <w:rPr>
          <w:rFonts w:ascii="Verdana" w:hAnsi="Verdana"/>
          <w:color w:val="262626" w:themeColor="text1" w:themeTint="D9"/>
          <w:sz w:val="20"/>
        </w:rPr>
        <w:lastRenderedPageBreak/>
        <w:t xml:space="preserve">website </w:t>
      </w:r>
      <w:hyperlink r:id="rId16" w:history="1">
        <w:r w:rsidR="001C23D1" w:rsidRPr="00C57D4B">
          <w:rPr>
            <w:rStyle w:val="Hyperlink"/>
            <w:rFonts w:ascii="Verdana" w:hAnsi="Verdana"/>
            <w:color w:val="262626" w:themeColor="text1" w:themeTint="D9"/>
            <w:sz w:val="20"/>
          </w:rPr>
          <w:t>www.ecoprorefrigeration.eu</w:t>
        </w:r>
      </w:hyperlink>
      <w:r w:rsidR="001C23D1" w:rsidRPr="00C57D4B">
        <w:rPr>
          <w:rFonts w:ascii="Verdana" w:hAnsi="Verdana"/>
          <w:color w:val="262626" w:themeColor="text1" w:themeTint="D9"/>
          <w:sz w:val="20"/>
        </w:rPr>
        <w:t xml:space="preserve">. </w:t>
      </w:r>
      <w:proofErr w:type="gramStart"/>
      <w:r w:rsidR="001C23D1" w:rsidRPr="00C57D4B">
        <w:rPr>
          <w:rFonts w:ascii="Verdana" w:hAnsi="Verdana"/>
          <w:color w:val="262626" w:themeColor="text1" w:themeTint="D9"/>
          <w:sz w:val="20"/>
        </w:rPr>
        <w:t>Also</w:t>
      </w:r>
      <w:proofErr w:type="gramEnd"/>
      <w:r w:rsidR="001C23D1" w:rsidRPr="00C57D4B">
        <w:rPr>
          <w:rFonts w:ascii="Verdana" w:hAnsi="Verdana"/>
          <w:color w:val="262626" w:themeColor="text1" w:themeTint="D9"/>
          <w:sz w:val="20"/>
        </w:rPr>
        <w:t>, the Commission has launched the ‘</w:t>
      </w:r>
      <w:hyperlink r:id="rId17" w:history="1">
        <w:r w:rsidR="001C23D1" w:rsidRPr="00C57D4B">
          <w:rPr>
            <w:rStyle w:val="Hyperlink"/>
            <w:rFonts w:ascii="Verdana" w:hAnsi="Verdana"/>
            <w:color w:val="262626" w:themeColor="text1" w:themeTint="D9"/>
            <w:sz w:val="20"/>
          </w:rPr>
          <w:t>Have-your-say’</w:t>
        </w:r>
      </w:hyperlink>
      <w:r w:rsidR="001C23D1" w:rsidRPr="00C57D4B">
        <w:rPr>
          <w:rFonts w:ascii="Verdana" w:hAnsi="Verdana"/>
          <w:color w:val="262626" w:themeColor="text1" w:themeTint="D9"/>
          <w:sz w:val="20"/>
        </w:rPr>
        <w:t xml:space="preserve"> page for the review.</w:t>
      </w:r>
      <w:r w:rsidR="00C67716" w:rsidRPr="00C57D4B">
        <w:rPr>
          <w:rFonts w:ascii="Verdana" w:hAnsi="Verdana"/>
          <w:color w:val="262626" w:themeColor="text1" w:themeTint="D9"/>
          <w:sz w:val="20"/>
        </w:rPr>
        <w:t xml:space="preserve"> </w:t>
      </w:r>
    </w:p>
    <w:p w14:paraId="4916EF21" w14:textId="18C9FA84" w:rsidR="00080E5E" w:rsidRDefault="00103182" w:rsidP="00657386">
      <w:pPr>
        <w:spacing w:line="276" w:lineRule="auto"/>
        <w:rPr>
          <w:rFonts w:ascii="Verdana" w:hAnsi="Verdana"/>
          <w:color w:val="262626" w:themeColor="text1" w:themeTint="D9"/>
          <w:sz w:val="20"/>
        </w:rPr>
      </w:pPr>
      <w:r w:rsidRPr="00C57D4B">
        <w:rPr>
          <w:rFonts w:ascii="Verdana" w:hAnsi="Verdana"/>
          <w:color w:val="262626" w:themeColor="text1" w:themeTint="D9"/>
          <w:sz w:val="20"/>
        </w:rPr>
        <w:t xml:space="preserve">The analysis of issues for professional refrigerating </w:t>
      </w:r>
      <w:r w:rsidR="00E9508D">
        <w:rPr>
          <w:rFonts w:ascii="Verdana" w:hAnsi="Verdana"/>
          <w:color w:val="262626" w:themeColor="text1" w:themeTint="D9"/>
          <w:sz w:val="20"/>
        </w:rPr>
        <w:t xml:space="preserve">storage </w:t>
      </w:r>
      <w:r w:rsidRPr="00C57D4B">
        <w:rPr>
          <w:rFonts w:ascii="Verdana" w:hAnsi="Verdana"/>
          <w:color w:val="262626" w:themeColor="text1" w:themeTint="D9"/>
          <w:sz w:val="20"/>
        </w:rPr>
        <w:t>cabinets is based on an anonymized dataset of nearly 10</w:t>
      </w:r>
      <w:r w:rsidR="00E9508D">
        <w:rPr>
          <w:rFonts w:ascii="Verdana" w:hAnsi="Verdana"/>
          <w:color w:val="262626" w:themeColor="text1" w:themeTint="D9"/>
          <w:sz w:val="20"/>
        </w:rPr>
        <w:t> </w:t>
      </w:r>
      <w:r w:rsidRPr="00C57D4B">
        <w:rPr>
          <w:rFonts w:ascii="Verdana" w:hAnsi="Verdana"/>
          <w:color w:val="262626" w:themeColor="text1" w:themeTint="D9"/>
          <w:sz w:val="20"/>
        </w:rPr>
        <w:t>000 cabinets from the EPREL database</w:t>
      </w:r>
      <w:r w:rsidR="00E9508D">
        <w:rPr>
          <w:rFonts w:ascii="Verdana" w:hAnsi="Verdana"/>
          <w:color w:val="262626" w:themeColor="text1" w:themeTint="D9"/>
          <w:sz w:val="20"/>
        </w:rPr>
        <w:t>,</w:t>
      </w:r>
      <w:r w:rsidRPr="00C57D4B">
        <w:rPr>
          <w:rFonts w:ascii="Verdana" w:hAnsi="Verdana"/>
          <w:color w:val="262626" w:themeColor="text1" w:themeTint="D9"/>
          <w:sz w:val="20"/>
        </w:rPr>
        <w:t xml:space="preserve"> as well as a report plus dataset (53 models) of EU Topten. Industry/trade organisations that </w:t>
      </w:r>
      <w:proofErr w:type="gramStart"/>
      <w:r w:rsidRPr="00C57D4B">
        <w:rPr>
          <w:rFonts w:ascii="Verdana" w:hAnsi="Verdana"/>
          <w:color w:val="262626" w:themeColor="text1" w:themeTint="D9"/>
          <w:sz w:val="20"/>
        </w:rPr>
        <w:t>were consulted</w:t>
      </w:r>
      <w:proofErr w:type="gramEnd"/>
      <w:r w:rsidRPr="00C57D4B">
        <w:rPr>
          <w:rFonts w:ascii="Verdana" w:hAnsi="Verdana"/>
          <w:color w:val="262626" w:themeColor="text1" w:themeTint="D9"/>
          <w:sz w:val="20"/>
        </w:rPr>
        <w:t xml:space="preserve"> for cabinets include EFCEM and HKI. </w:t>
      </w:r>
    </w:p>
    <w:p w14:paraId="509F0E57" w14:textId="3B1765A7" w:rsidR="00694D59" w:rsidRDefault="00694D59" w:rsidP="00694D59">
      <w:pPr>
        <w:spacing w:line="276" w:lineRule="auto"/>
        <w:rPr>
          <w:rFonts w:ascii="Verdana" w:hAnsi="Verdana"/>
          <w:color w:val="262626" w:themeColor="text1" w:themeTint="D9"/>
          <w:sz w:val="20"/>
        </w:rPr>
      </w:pPr>
      <w:r>
        <w:rPr>
          <w:rFonts w:ascii="Verdana" w:hAnsi="Verdana"/>
          <w:color w:val="262626" w:themeColor="text1" w:themeTint="D9"/>
          <w:sz w:val="20"/>
        </w:rPr>
        <w:t xml:space="preserve">For scientific and healthcare </w:t>
      </w:r>
      <w:r w:rsidR="00396092">
        <w:rPr>
          <w:rFonts w:ascii="Verdana" w:hAnsi="Verdana"/>
          <w:color w:val="262626" w:themeColor="text1" w:themeTint="D9"/>
          <w:sz w:val="20"/>
        </w:rPr>
        <w:t xml:space="preserve">refrigerated storage </w:t>
      </w:r>
      <w:r>
        <w:rPr>
          <w:rFonts w:ascii="Verdana" w:hAnsi="Verdana"/>
          <w:color w:val="262626" w:themeColor="text1" w:themeTint="D9"/>
          <w:sz w:val="20"/>
        </w:rPr>
        <w:t>cabinets many bilateral and industry group consultations have been held with manufacturers</w:t>
      </w:r>
      <w:r w:rsidR="00933471">
        <w:rPr>
          <w:rFonts w:ascii="Verdana" w:hAnsi="Verdana"/>
          <w:color w:val="262626" w:themeColor="text1" w:themeTint="D9"/>
          <w:sz w:val="20"/>
        </w:rPr>
        <w:t>, industry associations</w:t>
      </w:r>
      <w:r>
        <w:rPr>
          <w:rFonts w:ascii="Verdana" w:hAnsi="Verdana"/>
          <w:color w:val="262626" w:themeColor="text1" w:themeTint="D9"/>
          <w:sz w:val="20"/>
        </w:rPr>
        <w:t xml:space="preserve"> and other stakeholders in the scientific and healthcare sector with very high levels of support and co-operation. This has included submission of performance data for over 1 200 appliances (sourced from two manufacturers, web-gathered data from ECOS/EEB and the US ENERGY STAR database) which provide the basis for the performance proposals. </w:t>
      </w:r>
    </w:p>
    <w:p w14:paraId="5254813F" w14:textId="208EA0F2" w:rsidR="00E9508D" w:rsidRDefault="00E9508D" w:rsidP="00657386">
      <w:pPr>
        <w:spacing w:line="276" w:lineRule="auto"/>
        <w:rPr>
          <w:rFonts w:ascii="Verdana" w:hAnsi="Verdana"/>
          <w:color w:val="262626" w:themeColor="text1" w:themeTint="D9"/>
          <w:sz w:val="20"/>
        </w:rPr>
      </w:pPr>
      <w:r>
        <w:rPr>
          <w:rFonts w:ascii="Verdana" w:hAnsi="Verdana"/>
          <w:color w:val="262626" w:themeColor="text1" w:themeTint="D9"/>
          <w:sz w:val="20"/>
        </w:rPr>
        <w:t xml:space="preserve">For blast cabinets anonymized data sets delivered by EFCEM </w:t>
      </w:r>
      <w:proofErr w:type="gramStart"/>
      <w:r>
        <w:rPr>
          <w:rFonts w:ascii="Verdana" w:hAnsi="Verdana"/>
          <w:color w:val="262626" w:themeColor="text1" w:themeTint="D9"/>
          <w:sz w:val="20"/>
        </w:rPr>
        <w:t>were used</w:t>
      </w:r>
      <w:proofErr w:type="gramEnd"/>
      <w:r>
        <w:rPr>
          <w:rFonts w:ascii="Verdana" w:hAnsi="Verdana"/>
          <w:color w:val="262626" w:themeColor="text1" w:themeTint="D9"/>
          <w:sz w:val="20"/>
        </w:rPr>
        <w:t xml:space="preserve"> for the analysis, together with data from the EU Topten report and dataset.</w:t>
      </w:r>
    </w:p>
    <w:p w14:paraId="052816E9" w14:textId="6590B7EA" w:rsidR="00694D59" w:rsidRDefault="00694D59" w:rsidP="00694D59">
      <w:pPr>
        <w:spacing w:line="276" w:lineRule="auto"/>
        <w:rPr>
          <w:rFonts w:ascii="Verdana" w:hAnsi="Verdana"/>
          <w:color w:val="262626" w:themeColor="text1" w:themeTint="D9"/>
          <w:sz w:val="20"/>
        </w:rPr>
      </w:pPr>
      <w:r>
        <w:rPr>
          <w:rFonts w:ascii="Verdana" w:hAnsi="Verdana"/>
          <w:color w:val="262626" w:themeColor="text1" w:themeTint="D9"/>
          <w:sz w:val="20"/>
        </w:rPr>
        <w:t xml:space="preserve">Productive bilateral discussions have been held with industry technical leaders on walk-in cold rooms including those working on EU test methods; </w:t>
      </w:r>
      <w:proofErr w:type="gramStart"/>
      <w:r>
        <w:rPr>
          <w:rFonts w:ascii="Verdana" w:hAnsi="Verdana"/>
          <w:color w:val="262626" w:themeColor="text1" w:themeTint="D9"/>
          <w:sz w:val="20"/>
        </w:rPr>
        <w:t>also</w:t>
      </w:r>
      <w:proofErr w:type="gramEnd"/>
      <w:r>
        <w:rPr>
          <w:rFonts w:ascii="Verdana" w:hAnsi="Verdana"/>
          <w:color w:val="262626" w:themeColor="text1" w:themeTint="D9"/>
          <w:sz w:val="20"/>
        </w:rPr>
        <w:t xml:space="preserve"> a discussion with the industry association has taken place.</w:t>
      </w:r>
    </w:p>
    <w:p w14:paraId="1C133037" w14:textId="580C5730" w:rsidR="00080E5E" w:rsidRDefault="00103182" w:rsidP="00657386">
      <w:pPr>
        <w:spacing w:line="276" w:lineRule="auto"/>
        <w:rPr>
          <w:rFonts w:ascii="Verdana" w:hAnsi="Verdana"/>
          <w:color w:val="262626" w:themeColor="text1" w:themeTint="D9"/>
          <w:sz w:val="20"/>
        </w:rPr>
      </w:pPr>
      <w:r w:rsidRPr="00C57D4B">
        <w:rPr>
          <w:rFonts w:ascii="Verdana" w:hAnsi="Verdana"/>
          <w:color w:val="262626" w:themeColor="text1" w:themeTint="D9"/>
          <w:sz w:val="20"/>
        </w:rPr>
        <w:t xml:space="preserve">Industry/trade organisations that </w:t>
      </w:r>
      <w:proofErr w:type="gramStart"/>
      <w:r w:rsidRPr="00C57D4B">
        <w:rPr>
          <w:rFonts w:ascii="Verdana" w:hAnsi="Verdana"/>
          <w:color w:val="262626" w:themeColor="text1" w:themeTint="D9"/>
          <w:sz w:val="20"/>
        </w:rPr>
        <w:t>were consulted</w:t>
      </w:r>
      <w:proofErr w:type="gramEnd"/>
      <w:r w:rsidRPr="00C57D4B">
        <w:rPr>
          <w:rFonts w:ascii="Verdana" w:hAnsi="Verdana"/>
          <w:color w:val="262626" w:themeColor="text1" w:themeTint="D9"/>
          <w:sz w:val="20"/>
        </w:rPr>
        <w:t xml:space="preserve"> for remote condensing units and process chillers are ASERCOM and Eurovent. Market data retrieval for these latter two product groups, especially chillers, involved considerable desk research of </w:t>
      </w:r>
      <w:r w:rsidR="00DA6965" w:rsidRPr="00C57D4B">
        <w:rPr>
          <w:rFonts w:ascii="Verdana" w:hAnsi="Verdana"/>
          <w:color w:val="262626" w:themeColor="text1" w:themeTint="D9"/>
          <w:sz w:val="20"/>
        </w:rPr>
        <w:t>published compliance documents</w:t>
      </w:r>
      <w:r w:rsidRPr="00C57D4B">
        <w:rPr>
          <w:rFonts w:ascii="Verdana" w:hAnsi="Verdana"/>
          <w:color w:val="262626" w:themeColor="text1" w:themeTint="D9"/>
          <w:sz w:val="20"/>
        </w:rPr>
        <w:t xml:space="preserve"> </w:t>
      </w:r>
      <w:r w:rsidR="00DA6965" w:rsidRPr="00C57D4B">
        <w:rPr>
          <w:rFonts w:ascii="Verdana" w:hAnsi="Verdana"/>
          <w:color w:val="262626" w:themeColor="text1" w:themeTint="D9"/>
          <w:sz w:val="20"/>
        </w:rPr>
        <w:t xml:space="preserve">and expert-interviews. </w:t>
      </w:r>
    </w:p>
    <w:p w14:paraId="0B9A8242" w14:textId="2E7C9880" w:rsidR="0049019F" w:rsidRPr="00C57D4B" w:rsidRDefault="00DA6965" w:rsidP="00657386">
      <w:pPr>
        <w:spacing w:line="276" w:lineRule="auto"/>
        <w:rPr>
          <w:rFonts w:ascii="Verdana" w:hAnsi="Verdana"/>
          <w:color w:val="262626" w:themeColor="text1" w:themeTint="D9"/>
          <w:sz w:val="20"/>
        </w:rPr>
      </w:pPr>
      <w:r w:rsidRPr="00C57D4B">
        <w:rPr>
          <w:rFonts w:ascii="Verdana" w:hAnsi="Verdana"/>
          <w:color w:val="262626" w:themeColor="text1" w:themeTint="D9"/>
          <w:sz w:val="20"/>
        </w:rPr>
        <w:t xml:space="preserve">For </w:t>
      </w:r>
      <w:r w:rsidR="0049019F" w:rsidRPr="00C57D4B">
        <w:rPr>
          <w:rFonts w:ascii="Verdana" w:hAnsi="Verdana"/>
          <w:color w:val="262626" w:themeColor="text1" w:themeTint="D9"/>
          <w:sz w:val="20"/>
        </w:rPr>
        <w:t xml:space="preserve">projections of energy, greenhouse gases (GHG), material resources (circularity), monetary costs and benefits </w:t>
      </w:r>
      <w:r w:rsidRPr="00C57D4B">
        <w:rPr>
          <w:rFonts w:ascii="Verdana" w:hAnsi="Verdana"/>
          <w:color w:val="262626" w:themeColor="text1" w:themeTint="D9"/>
          <w:sz w:val="20"/>
        </w:rPr>
        <w:t>the Ecodesign Impact Accounting</w:t>
      </w:r>
      <w:r w:rsidR="0049019F" w:rsidRPr="00C57D4B">
        <w:rPr>
          <w:rFonts w:ascii="Verdana" w:hAnsi="Verdana"/>
          <w:color w:val="262626" w:themeColor="text1" w:themeTint="D9"/>
          <w:sz w:val="20"/>
        </w:rPr>
        <w:t xml:space="preserve"> (EIA) model</w:t>
      </w:r>
      <w:r w:rsidRPr="00C57D4B">
        <w:rPr>
          <w:rFonts w:ascii="Verdana" w:hAnsi="Verdana"/>
          <w:color w:val="262626" w:themeColor="text1" w:themeTint="D9"/>
          <w:sz w:val="20"/>
        </w:rPr>
        <w:t xml:space="preserve"> </w:t>
      </w:r>
      <w:proofErr w:type="gramStart"/>
      <w:r w:rsidRPr="00C57D4B">
        <w:rPr>
          <w:rFonts w:ascii="Verdana" w:hAnsi="Verdana"/>
          <w:color w:val="262626" w:themeColor="text1" w:themeTint="D9"/>
          <w:sz w:val="20"/>
        </w:rPr>
        <w:t>was used</w:t>
      </w:r>
      <w:proofErr w:type="gramEnd"/>
      <w:r w:rsidRPr="00C57D4B">
        <w:rPr>
          <w:rFonts w:ascii="Verdana" w:hAnsi="Verdana"/>
          <w:color w:val="262626" w:themeColor="text1" w:themeTint="D9"/>
          <w:sz w:val="20"/>
        </w:rPr>
        <w:t xml:space="preserve">. </w:t>
      </w:r>
      <w:r w:rsidR="0049019F" w:rsidRPr="00C57D4B">
        <w:rPr>
          <w:rFonts w:ascii="Verdana" w:hAnsi="Verdana"/>
          <w:color w:val="262626" w:themeColor="text1" w:themeTint="D9"/>
          <w:sz w:val="20"/>
        </w:rPr>
        <w:t xml:space="preserve">For energy </w:t>
      </w:r>
      <w:proofErr w:type="gramStart"/>
      <w:r w:rsidR="0049019F" w:rsidRPr="00C57D4B">
        <w:rPr>
          <w:rFonts w:ascii="Verdana" w:hAnsi="Verdana"/>
          <w:color w:val="262626" w:themeColor="text1" w:themeTint="D9"/>
          <w:sz w:val="20"/>
        </w:rPr>
        <w:t>rates</w:t>
      </w:r>
      <w:proofErr w:type="gramEnd"/>
      <w:r w:rsidR="0049019F" w:rsidRPr="00C57D4B">
        <w:rPr>
          <w:rFonts w:ascii="Verdana" w:hAnsi="Verdana"/>
          <w:color w:val="262626" w:themeColor="text1" w:themeTint="D9"/>
          <w:sz w:val="20"/>
        </w:rPr>
        <w:t xml:space="preserve"> the 2022 PRIMES </w:t>
      </w:r>
      <w:proofErr w:type="spellStart"/>
      <w:r w:rsidR="0049019F" w:rsidRPr="00C57D4B">
        <w:rPr>
          <w:rFonts w:ascii="Verdana" w:hAnsi="Verdana"/>
          <w:color w:val="262626" w:themeColor="text1" w:themeTint="D9"/>
          <w:sz w:val="20"/>
        </w:rPr>
        <w:t>REPowerEU</w:t>
      </w:r>
      <w:proofErr w:type="spellEnd"/>
      <w:r w:rsidR="0049019F" w:rsidRPr="00C57D4B">
        <w:rPr>
          <w:rFonts w:ascii="Verdana" w:hAnsi="Verdana"/>
          <w:color w:val="262626" w:themeColor="text1" w:themeTint="D9"/>
          <w:sz w:val="20"/>
        </w:rPr>
        <w:t xml:space="preserve"> scenario 3a_v2 was used. For GHG-emissions from </w:t>
      </w:r>
      <w:proofErr w:type="gramStart"/>
      <w:r w:rsidR="0049019F" w:rsidRPr="00C57D4B">
        <w:rPr>
          <w:rFonts w:ascii="Verdana" w:hAnsi="Verdana"/>
          <w:color w:val="262626" w:themeColor="text1" w:themeTint="D9"/>
          <w:sz w:val="20"/>
        </w:rPr>
        <w:t>electricity</w:t>
      </w:r>
      <w:proofErr w:type="gramEnd"/>
      <w:r w:rsidR="0049019F" w:rsidRPr="00C57D4B">
        <w:rPr>
          <w:rFonts w:ascii="Verdana" w:hAnsi="Verdana"/>
          <w:color w:val="262626" w:themeColor="text1" w:themeTint="D9"/>
          <w:sz w:val="20"/>
        </w:rPr>
        <w:t xml:space="preserve"> the 2020 PRIMES Reference scenario was employed. </w:t>
      </w:r>
      <w:r w:rsidR="00126F4F" w:rsidRPr="00C57D4B">
        <w:rPr>
          <w:rFonts w:ascii="Verdana" w:hAnsi="Verdana"/>
          <w:color w:val="262626" w:themeColor="text1" w:themeTint="D9"/>
          <w:sz w:val="20"/>
        </w:rPr>
        <w:t xml:space="preserve">For standardisation, VHK is monitoring </w:t>
      </w:r>
      <w:r w:rsidR="00C15E70" w:rsidRPr="00C57D4B">
        <w:rPr>
          <w:rFonts w:ascii="Verdana" w:hAnsi="Verdana"/>
          <w:color w:val="262626" w:themeColor="text1" w:themeTint="D9"/>
          <w:sz w:val="20"/>
        </w:rPr>
        <w:t>the</w:t>
      </w:r>
      <w:r w:rsidR="00126F4F" w:rsidRPr="00C57D4B">
        <w:rPr>
          <w:rFonts w:ascii="Verdana" w:hAnsi="Verdana"/>
          <w:color w:val="262626" w:themeColor="text1" w:themeTint="D9"/>
          <w:sz w:val="20"/>
        </w:rPr>
        <w:t xml:space="preserve"> work in the relevant CEN/ </w:t>
      </w:r>
      <w:proofErr w:type="spellStart"/>
      <w:r w:rsidR="00126F4F" w:rsidRPr="00C57D4B">
        <w:rPr>
          <w:rFonts w:ascii="Verdana" w:hAnsi="Verdana"/>
          <w:color w:val="262626" w:themeColor="text1" w:themeTint="D9"/>
          <w:sz w:val="20"/>
        </w:rPr>
        <w:t>Cenelec</w:t>
      </w:r>
      <w:proofErr w:type="spellEnd"/>
      <w:r w:rsidR="00126F4F" w:rsidRPr="00C57D4B">
        <w:rPr>
          <w:rFonts w:ascii="Verdana" w:hAnsi="Verdana"/>
          <w:color w:val="262626" w:themeColor="text1" w:themeTint="D9"/>
          <w:sz w:val="20"/>
        </w:rPr>
        <w:t xml:space="preserve"> TCs and WGs</w:t>
      </w:r>
      <w:r w:rsidR="00C15E70" w:rsidRPr="00C57D4B">
        <w:rPr>
          <w:rStyle w:val="FootnoteReference"/>
          <w:rFonts w:ascii="Verdana" w:hAnsi="Verdana"/>
          <w:color w:val="262626" w:themeColor="text1" w:themeTint="D9"/>
        </w:rPr>
        <w:footnoteReference w:id="37"/>
      </w:r>
      <w:r w:rsidR="00126F4F" w:rsidRPr="00C57D4B">
        <w:rPr>
          <w:rFonts w:ascii="Verdana" w:hAnsi="Verdana"/>
          <w:color w:val="262626" w:themeColor="text1" w:themeTint="D9"/>
          <w:sz w:val="20"/>
        </w:rPr>
        <w:t xml:space="preserve">. </w:t>
      </w:r>
    </w:p>
    <w:p w14:paraId="7537C7A0" w14:textId="40B74AA7" w:rsidR="00561732" w:rsidRPr="00C57D4B" w:rsidRDefault="00080E5E" w:rsidP="00657386">
      <w:pPr>
        <w:spacing w:line="276" w:lineRule="auto"/>
        <w:rPr>
          <w:rFonts w:ascii="Verdana" w:hAnsi="Verdana"/>
          <w:color w:val="262626" w:themeColor="text1" w:themeTint="D9"/>
          <w:sz w:val="20"/>
        </w:rPr>
      </w:pPr>
      <w:r w:rsidRPr="00C57D4B">
        <w:rPr>
          <w:rFonts w:ascii="Verdana" w:hAnsi="Verdana"/>
          <w:color w:val="262626" w:themeColor="text1" w:themeTint="D9"/>
          <w:sz w:val="20"/>
        </w:rPr>
        <w:t xml:space="preserve">The review study </w:t>
      </w:r>
      <w:r w:rsidR="00561732" w:rsidRPr="00C57D4B">
        <w:rPr>
          <w:rFonts w:ascii="Verdana" w:hAnsi="Verdana"/>
          <w:color w:val="262626" w:themeColor="text1" w:themeTint="D9"/>
          <w:sz w:val="20"/>
        </w:rPr>
        <w:t xml:space="preserve">(Phase 1.1 and 1.2) </w:t>
      </w:r>
      <w:r w:rsidRPr="00C57D4B">
        <w:rPr>
          <w:rFonts w:ascii="Verdana" w:hAnsi="Verdana"/>
          <w:color w:val="262626" w:themeColor="text1" w:themeTint="D9"/>
          <w:sz w:val="20"/>
        </w:rPr>
        <w:t>is in its final stages</w:t>
      </w:r>
      <w:r w:rsidR="0048609E" w:rsidRPr="00C57D4B">
        <w:rPr>
          <w:rFonts w:ascii="Verdana" w:hAnsi="Verdana"/>
          <w:color w:val="262626" w:themeColor="text1" w:themeTint="D9"/>
          <w:sz w:val="20"/>
        </w:rPr>
        <w:t xml:space="preserve">, with the </w:t>
      </w:r>
      <w:proofErr w:type="gramStart"/>
      <w:r w:rsidR="0048609E" w:rsidRPr="00C57D4B">
        <w:rPr>
          <w:rFonts w:ascii="Verdana" w:hAnsi="Verdana"/>
          <w:color w:val="262626" w:themeColor="text1" w:themeTint="D9"/>
          <w:sz w:val="20"/>
        </w:rPr>
        <w:t>2</w:t>
      </w:r>
      <w:r w:rsidR="0048609E" w:rsidRPr="00C57D4B">
        <w:rPr>
          <w:rFonts w:ascii="Verdana" w:hAnsi="Verdana"/>
          <w:color w:val="262626" w:themeColor="text1" w:themeTint="D9"/>
          <w:sz w:val="20"/>
          <w:vertAlign w:val="superscript"/>
        </w:rPr>
        <w:t>nd</w:t>
      </w:r>
      <w:proofErr w:type="gramEnd"/>
      <w:r w:rsidR="0048609E" w:rsidRPr="00C57D4B">
        <w:rPr>
          <w:rFonts w:ascii="Verdana" w:hAnsi="Verdana"/>
          <w:color w:val="262626" w:themeColor="text1" w:themeTint="D9"/>
          <w:sz w:val="20"/>
        </w:rPr>
        <w:t xml:space="preserve"> draft interim report published in November 2022</w:t>
      </w:r>
      <w:r w:rsidRPr="00C57D4B">
        <w:rPr>
          <w:rFonts w:ascii="Verdana" w:hAnsi="Verdana"/>
          <w:color w:val="262626" w:themeColor="text1" w:themeTint="D9"/>
          <w:sz w:val="20"/>
        </w:rPr>
        <w:t xml:space="preserve">. </w:t>
      </w:r>
      <w:r w:rsidR="00561732" w:rsidRPr="00C57D4B">
        <w:rPr>
          <w:rFonts w:ascii="Verdana" w:hAnsi="Verdana"/>
          <w:color w:val="262626" w:themeColor="text1" w:themeTint="D9"/>
          <w:sz w:val="20"/>
        </w:rPr>
        <w:t xml:space="preserve">An impact analysis (Phase 2 of </w:t>
      </w:r>
      <w:r w:rsidR="00C2637F">
        <w:rPr>
          <w:rFonts w:ascii="Verdana" w:hAnsi="Verdana"/>
          <w:color w:val="262626" w:themeColor="text1" w:themeTint="D9"/>
          <w:sz w:val="20"/>
        </w:rPr>
        <w:t xml:space="preserve">the </w:t>
      </w:r>
      <w:r w:rsidR="00561732" w:rsidRPr="00C57D4B">
        <w:rPr>
          <w:rFonts w:ascii="Verdana" w:hAnsi="Verdana"/>
          <w:color w:val="262626" w:themeColor="text1" w:themeTint="D9"/>
          <w:sz w:val="20"/>
        </w:rPr>
        <w:t xml:space="preserve">contract) </w:t>
      </w:r>
      <w:proofErr w:type="gramStart"/>
      <w:r w:rsidR="00561732" w:rsidRPr="00C57D4B">
        <w:rPr>
          <w:rFonts w:ascii="Verdana" w:hAnsi="Verdana"/>
          <w:color w:val="262626" w:themeColor="text1" w:themeTint="D9"/>
          <w:sz w:val="20"/>
        </w:rPr>
        <w:t>is foreseen</w:t>
      </w:r>
      <w:proofErr w:type="gramEnd"/>
      <w:r w:rsidR="00561732" w:rsidRPr="00C57D4B">
        <w:rPr>
          <w:rFonts w:ascii="Verdana" w:hAnsi="Verdana"/>
          <w:color w:val="262626" w:themeColor="text1" w:themeTint="D9"/>
          <w:sz w:val="20"/>
        </w:rPr>
        <w:t xml:space="preserve"> for 2023.</w:t>
      </w:r>
    </w:p>
    <w:p w14:paraId="5A483364" w14:textId="7CF342A9" w:rsidR="0077107D" w:rsidRPr="00C57D4B" w:rsidRDefault="00126F4F" w:rsidP="00657386">
      <w:pPr>
        <w:pStyle w:val="ManualHeading1"/>
        <w:spacing w:line="276" w:lineRule="auto"/>
        <w:rPr>
          <w:rFonts w:ascii="Verdana" w:hAnsi="Verdana"/>
          <w:color w:val="262626" w:themeColor="text1" w:themeTint="D9"/>
          <w:szCs w:val="24"/>
        </w:rPr>
      </w:pPr>
      <w:r w:rsidRPr="00C57D4B">
        <w:rPr>
          <w:rFonts w:ascii="Verdana" w:hAnsi="Verdana"/>
          <w:color w:val="262626" w:themeColor="text1" w:themeTint="D9"/>
          <w:szCs w:val="24"/>
        </w:rPr>
        <w:t xml:space="preserve">3.  </w:t>
      </w:r>
      <w:r w:rsidR="00596F93">
        <w:rPr>
          <w:rFonts w:ascii="Verdana" w:hAnsi="Verdana"/>
          <w:color w:val="262626" w:themeColor="text1" w:themeTint="D9"/>
          <w:szCs w:val="24"/>
        </w:rPr>
        <w:tab/>
      </w:r>
      <w:r w:rsidR="003A354B" w:rsidRPr="00C57D4B">
        <w:rPr>
          <w:rFonts w:ascii="Verdana" w:hAnsi="Verdana"/>
          <w:color w:val="262626" w:themeColor="text1" w:themeTint="D9"/>
          <w:szCs w:val="24"/>
        </w:rPr>
        <w:t>P</w:t>
      </w:r>
      <w:r w:rsidRPr="00C57D4B">
        <w:rPr>
          <w:rFonts w:ascii="Verdana" w:hAnsi="Verdana"/>
          <w:color w:val="262626" w:themeColor="text1" w:themeTint="D9"/>
          <w:szCs w:val="24"/>
        </w:rPr>
        <w:t>ropos</w:t>
      </w:r>
      <w:r w:rsidR="006978EF" w:rsidRPr="00C57D4B">
        <w:rPr>
          <w:rFonts w:ascii="Verdana" w:hAnsi="Verdana"/>
          <w:color w:val="262626" w:themeColor="text1" w:themeTint="D9"/>
          <w:szCs w:val="24"/>
        </w:rPr>
        <w:t>ed measures</w:t>
      </w:r>
      <w:r w:rsidRPr="00C57D4B">
        <w:rPr>
          <w:rFonts w:ascii="Verdana" w:hAnsi="Verdana"/>
          <w:color w:val="262626" w:themeColor="text1" w:themeTint="D9"/>
          <w:szCs w:val="24"/>
        </w:rPr>
        <w:t xml:space="preserve"> </w:t>
      </w:r>
    </w:p>
    <w:p w14:paraId="58A287AD" w14:textId="1B513745" w:rsidR="00694D59" w:rsidRDefault="007829F7" w:rsidP="00C57D4B">
      <w:pPr>
        <w:spacing w:line="276" w:lineRule="auto"/>
        <w:rPr>
          <w:rFonts w:ascii="Verdana" w:hAnsi="Verdana"/>
          <w:color w:val="262626" w:themeColor="text1" w:themeTint="D9"/>
          <w:sz w:val="20"/>
        </w:rPr>
      </w:pPr>
      <w:r w:rsidRPr="00C57D4B">
        <w:rPr>
          <w:rFonts w:ascii="Verdana" w:hAnsi="Verdana"/>
          <w:color w:val="262626" w:themeColor="text1" w:themeTint="D9"/>
          <w:sz w:val="20"/>
        </w:rPr>
        <w:t xml:space="preserve">This section discusses </w:t>
      </w:r>
      <w:r w:rsidR="00C15E70" w:rsidRPr="00C57D4B">
        <w:rPr>
          <w:rFonts w:ascii="Verdana" w:hAnsi="Verdana"/>
          <w:color w:val="262626" w:themeColor="text1" w:themeTint="D9"/>
          <w:sz w:val="20"/>
        </w:rPr>
        <w:t xml:space="preserve">the </w:t>
      </w:r>
      <w:r w:rsidRPr="00C57D4B">
        <w:rPr>
          <w:rFonts w:ascii="Verdana" w:hAnsi="Verdana"/>
          <w:color w:val="262626" w:themeColor="text1" w:themeTint="D9"/>
          <w:sz w:val="20"/>
        </w:rPr>
        <w:t xml:space="preserve">background to the draft Working Documents </w:t>
      </w:r>
      <w:r w:rsidR="006978EF" w:rsidRPr="00C57D4B">
        <w:rPr>
          <w:rFonts w:ascii="Verdana" w:hAnsi="Verdana"/>
          <w:color w:val="262626" w:themeColor="text1" w:themeTint="D9"/>
          <w:sz w:val="20"/>
        </w:rPr>
        <w:t xml:space="preserve">presented at the Consultation Forum 28 November 2022, referring to the preliminary results from the review study Phase 1.1 and 1.2. </w:t>
      </w:r>
      <w:r w:rsidRPr="00C57D4B">
        <w:rPr>
          <w:rFonts w:ascii="Verdana" w:hAnsi="Verdana"/>
          <w:color w:val="262626" w:themeColor="text1" w:themeTint="D9"/>
          <w:sz w:val="20"/>
        </w:rPr>
        <w:t xml:space="preserve"> </w:t>
      </w:r>
    </w:p>
    <w:p w14:paraId="4C981C42" w14:textId="77777777" w:rsidR="00694D59" w:rsidRDefault="00694D59" w:rsidP="00694D59">
      <w:pPr>
        <w:spacing w:line="276" w:lineRule="auto"/>
        <w:rPr>
          <w:rFonts w:ascii="Verdana" w:hAnsi="Verdana"/>
          <w:color w:val="262626" w:themeColor="text1" w:themeTint="D9"/>
          <w:sz w:val="20"/>
        </w:rPr>
      </w:pPr>
      <w:r>
        <w:rPr>
          <w:rFonts w:ascii="Verdana" w:hAnsi="Verdana"/>
          <w:color w:val="262626" w:themeColor="text1" w:themeTint="D9"/>
          <w:sz w:val="20"/>
        </w:rPr>
        <w:t>In addition to the product-specific technical measures considered in the separate sections below, the revised proposals incorporate the following generic issues in line with other recent ecodesign and energy label regulations as well as to reflect the professional equipment market situation:</w:t>
      </w:r>
    </w:p>
    <w:p w14:paraId="0280F330" w14:textId="77777777" w:rsidR="00694D59" w:rsidRPr="00D17C0C" w:rsidRDefault="00694D59" w:rsidP="00694D59">
      <w:pPr>
        <w:pStyle w:val="ListParagraph"/>
        <w:numPr>
          <w:ilvl w:val="0"/>
          <w:numId w:val="56"/>
        </w:numPr>
        <w:spacing w:line="276" w:lineRule="auto"/>
        <w:rPr>
          <w:rFonts w:ascii="Verdana" w:hAnsi="Verdana"/>
          <w:color w:val="262626" w:themeColor="text1" w:themeTint="D9"/>
          <w:sz w:val="20"/>
        </w:rPr>
      </w:pPr>
      <w:r w:rsidRPr="00D17C0C">
        <w:rPr>
          <w:rFonts w:ascii="Verdana" w:hAnsi="Verdana"/>
          <w:color w:val="262626" w:themeColor="text1" w:themeTint="D9"/>
          <w:sz w:val="20"/>
        </w:rPr>
        <w:t>Addition of further material efficiency requirements, including repair;</w:t>
      </w:r>
    </w:p>
    <w:p w14:paraId="27FE186F" w14:textId="77777777" w:rsidR="00694D59" w:rsidRDefault="00694D59" w:rsidP="00694D59">
      <w:pPr>
        <w:pStyle w:val="ListParagraph"/>
        <w:numPr>
          <w:ilvl w:val="0"/>
          <w:numId w:val="56"/>
        </w:numPr>
        <w:spacing w:line="276" w:lineRule="auto"/>
        <w:rPr>
          <w:rFonts w:ascii="Verdana" w:hAnsi="Verdana"/>
          <w:color w:val="262626" w:themeColor="text1" w:themeTint="D9"/>
          <w:sz w:val="20"/>
        </w:rPr>
      </w:pPr>
      <w:r w:rsidRPr="00D17C0C">
        <w:rPr>
          <w:rFonts w:ascii="Verdana" w:hAnsi="Verdana"/>
          <w:color w:val="262626" w:themeColor="text1" w:themeTint="D9"/>
          <w:sz w:val="20"/>
        </w:rPr>
        <w:t>Clarification of expectations regarding circumvention and software updates;</w:t>
      </w:r>
    </w:p>
    <w:p w14:paraId="59FC234E" w14:textId="77777777" w:rsidR="00694D59" w:rsidRDefault="00694D59" w:rsidP="00694D59">
      <w:pPr>
        <w:pStyle w:val="ListParagraph"/>
        <w:numPr>
          <w:ilvl w:val="0"/>
          <w:numId w:val="56"/>
        </w:numPr>
        <w:spacing w:line="276" w:lineRule="auto"/>
        <w:rPr>
          <w:rFonts w:ascii="Verdana" w:hAnsi="Verdana"/>
          <w:color w:val="262626" w:themeColor="text1" w:themeTint="D9"/>
          <w:sz w:val="20"/>
        </w:rPr>
      </w:pPr>
      <w:r>
        <w:rPr>
          <w:rFonts w:ascii="Verdana" w:hAnsi="Verdana"/>
          <w:color w:val="262626" w:themeColor="text1" w:themeTint="D9"/>
          <w:sz w:val="20"/>
        </w:rPr>
        <w:lastRenderedPageBreak/>
        <w:t>Adding full requirements for the EPREL database;</w:t>
      </w:r>
    </w:p>
    <w:p w14:paraId="38E35508" w14:textId="77777777" w:rsidR="00694D59" w:rsidRDefault="00694D59" w:rsidP="00694D59">
      <w:pPr>
        <w:pStyle w:val="ListParagraph"/>
        <w:numPr>
          <w:ilvl w:val="0"/>
          <w:numId w:val="56"/>
        </w:numPr>
        <w:spacing w:line="276" w:lineRule="auto"/>
        <w:rPr>
          <w:rFonts w:ascii="Verdana" w:hAnsi="Verdana"/>
          <w:color w:val="262626" w:themeColor="text1" w:themeTint="D9"/>
          <w:sz w:val="20"/>
        </w:rPr>
      </w:pPr>
      <w:r>
        <w:rPr>
          <w:rFonts w:ascii="Verdana" w:hAnsi="Verdana"/>
          <w:color w:val="262626" w:themeColor="text1" w:themeTint="D9"/>
          <w:sz w:val="20"/>
        </w:rPr>
        <w:t xml:space="preserve">Clarification and extension of energy label requirements for use in distance selling, including via the internet. </w:t>
      </w:r>
    </w:p>
    <w:p w14:paraId="0441EAC1" w14:textId="77777777" w:rsidR="00694D59" w:rsidRDefault="00694D59" w:rsidP="00694D59">
      <w:pPr>
        <w:pStyle w:val="ListParagraph"/>
        <w:numPr>
          <w:ilvl w:val="0"/>
          <w:numId w:val="56"/>
        </w:numPr>
        <w:spacing w:line="276" w:lineRule="auto"/>
        <w:rPr>
          <w:rFonts w:ascii="Verdana" w:hAnsi="Verdana"/>
          <w:color w:val="262626" w:themeColor="text1" w:themeTint="D9"/>
          <w:sz w:val="20"/>
        </w:rPr>
      </w:pPr>
      <w:r>
        <w:rPr>
          <w:rFonts w:ascii="Verdana" w:hAnsi="Verdana"/>
          <w:color w:val="262626" w:themeColor="text1" w:themeTint="D9"/>
          <w:sz w:val="20"/>
        </w:rPr>
        <w:t>For this sector, including recognition that professional equipment is rarely advertised with a fixed associated price and so display of energy label information should not be dependent on location and size of price data (also closes a potential loophole);</w:t>
      </w:r>
    </w:p>
    <w:p w14:paraId="6FD78F3B" w14:textId="77777777" w:rsidR="00694D59" w:rsidRDefault="00694D59" w:rsidP="00694D59">
      <w:pPr>
        <w:pStyle w:val="ListParagraph"/>
        <w:numPr>
          <w:ilvl w:val="0"/>
          <w:numId w:val="56"/>
        </w:numPr>
        <w:spacing w:line="276" w:lineRule="auto"/>
        <w:rPr>
          <w:rFonts w:ascii="Verdana" w:hAnsi="Verdana"/>
          <w:color w:val="262626" w:themeColor="text1" w:themeTint="D9"/>
          <w:sz w:val="20"/>
        </w:rPr>
      </w:pPr>
      <w:r>
        <w:rPr>
          <w:rFonts w:ascii="Verdana" w:hAnsi="Verdana"/>
          <w:color w:val="262626" w:themeColor="text1" w:themeTint="D9"/>
          <w:sz w:val="20"/>
        </w:rPr>
        <w:t>Obligations for internet hosting platforms with regards energy labelling;</w:t>
      </w:r>
    </w:p>
    <w:p w14:paraId="3B9EAF36" w14:textId="77777777" w:rsidR="00694D59" w:rsidRPr="00362E10" w:rsidRDefault="00694D59" w:rsidP="00694D59">
      <w:pPr>
        <w:pStyle w:val="ListParagraph"/>
        <w:numPr>
          <w:ilvl w:val="0"/>
          <w:numId w:val="56"/>
        </w:numPr>
        <w:spacing w:line="276" w:lineRule="auto"/>
        <w:rPr>
          <w:rFonts w:ascii="Verdana" w:hAnsi="Verdana"/>
          <w:color w:val="262626" w:themeColor="text1" w:themeTint="D9"/>
          <w:sz w:val="20"/>
        </w:rPr>
      </w:pPr>
      <w:r>
        <w:rPr>
          <w:rFonts w:ascii="Verdana" w:hAnsi="Verdana"/>
          <w:color w:val="262626" w:themeColor="text1" w:themeTint="D9"/>
          <w:sz w:val="20"/>
        </w:rPr>
        <w:t xml:space="preserve">Extension of requirement for energy labels to </w:t>
      </w:r>
      <w:proofErr w:type="gramStart"/>
      <w:r>
        <w:rPr>
          <w:rFonts w:ascii="Verdana" w:hAnsi="Verdana"/>
          <w:color w:val="262626" w:themeColor="text1" w:themeTint="D9"/>
          <w:sz w:val="20"/>
        </w:rPr>
        <w:t>be displayed</w:t>
      </w:r>
      <w:proofErr w:type="gramEnd"/>
      <w:r>
        <w:rPr>
          <w:rFonts w:ascii="Verdana" w:hAnsi="Verdana"/>
          <w:color w:val="262626" w:themeColor="text1" w:themeTint="D9"/>
          <w:sz w:val="20"/>
        </w:rPr>
        <w:t xml:space="preserve"> at trade fairs, being a highly influential route to market for professional equipment (follows the precedent set for refrigerated cabinets for direct sales).</w:t>
      </w:r>
    </w:p>
    <w:p w14:paraId="39D0487F" w14:textId="77777777" w:rsidR="00C20711" w:rsidRPr="00C57D4B" w:rsidRDefault="00C20711" w:rsidP="00C57D4B">
      <w:pPr>
        <w:spacing w:line="276" w:lineRule="auto"/>
        <w:rPr>
          <w:rFonts w:ascii="Verdana" w:hAnsi="Verdana"/>
          <w:color w:val="262626" w:themeColor="text1" w:themeTint="D9"/>
          <w:sz w:val="20"/>
        </w:rPr>
      </w:pPr>
    </w:p>
    <w:p w14:paraId="006A0A3F" w14:textId="77777777" w:rsidR="0025325F" w:rsidRPr="0025325F" w:rsidRDefault="0025325F" w:rsidP="0025325F">
      <w:pPr>
        <w:pStyle w:val="ListParagraph"/>
        <w:keepNext/>
        <w:numPr>
          <w:ilvl w:val="0"/>
          <w:numId w:val="3"/>
        </w:numPr>
        <w:spacing w:before="240" w:after="240" w:line="240" w:lineRule="auto"/>
        <w:contextualSpacing w:val="0"/>
        <w:jc w:val="both"/>
        <w:outlineLvl w:val="0"/>
        <w:rPr>
          <w:rFonts w:ascii="Times New Roman" w:eastAsia="Times New Roman" w:hAnsi="Times New Roman" w:cs="Times New Roman"/>
          <w:b/>
          <w:smallCaps/>
          <w:vanish/>
          <w:sz w:val="24"/>
          <w:szCs w:val="20"/>
        </w:rPr>
      </w:pPr>
    </w:p>
    <w:p w14:paraId="3A33F5E6" w14:textId="53270B74" w:rsidR="00C15E70" w:rsidRPr="00C57D4B" w:rsidRDefault="006978EF" w:rsidP="00CE3DEA">
      <w:pPr>
        <w:pStyle w:val="Heading2"/>
        <w:tabs>
          <w:tab w:val="clear" w:pos="1712"/>
        </w:tabs>
      </w:pPr>
      <w:r w:rsidRPr="00C57D4B">
        <w:t xml:space="preserve">Professional refrigerated </w:t>
      </w:r>
      <w:r w:rsidR="005109A6">
        <w:t xml:space="preserve">storage </w:t>
      </w:r>
      <w:r w:rsidRPr="00C57D4B">
        <w:t>cabinets</w:t>
      </w:r>
    </w:p>
    <w:p w14:paraId="363E0CA1" w14:textId="479ED3DA" w:rsidR="003919E0" w:rsidRPr="00C57D4B" w:rsidRDefault="003F39A6" w:rsidP="00C57D4B">
      <w:pPr>
        <w:pStyle w:val="Body"/>
        <w:spacing w:line="276" w:lineRule="auto"/>
        <w:jc w:val="both"/>
        <w:rPr>
          <w:color w:val="262626" w:themeColor="text1" w:themeTint="D9"/>
          <w:sz w:val="20"/>
        </w:rPr>
      </w:pPr>
      <w:r w:rsidRPr="00C57D4B">
        <w:rPr>
          <w:color w:val="262626" w:themeColor="text1" w:themeTint="D9"/>
          <w:sz w:val="20"/>
        </w:rPr>
        <w:t xml:space="preserve">The current </w:t>
      </w:r>
      <w:r w:rsidR="005109A6">
        <w:rPr>
          <w:color w:val="262626" w:themeColor="text1" w:themeTint="D9"/>
          <w:sz w:val="20"/>
        </w:rPr>
        <w:t>energy labelling</w:t>
      </w:r>
      <w:r w:rsidRPr="00C57D4B">
        <w:rPr>
          <w:color w:val="262626" w:themeColor="text1" w:themeTint="D9"/>
          <w:sz w:val="20"/>
        </w:rPr>
        <w:t xml:space="preserve"> regulation has an </w:t>
      </w:r>
      <w:r w:rsidRPr="00C57D4B">
        <w:rPr>
          <w:color w:val="262626" w:themeColor="text1" w:themeTint="D9"/>
          <w:sz w:val="20"/>
          <w:u w:val="single"/>
        </w:rPr>
        <w:t>energy label</w:t>
      </w:r>
      <w:r w:rsidRPr="00C57D4B">
        <w:rPr>
          <w:color w:val="262626" w:themeColor="text1" w:themeTint="D9"/>
          <w:sz w:val="20"/>
        </w:rPr>
        <w:t xml:space="preserve"> with </w:t>
      </w:r>
      <w:r w:rsidR="0019732A" w:rsidRPr="00C57D4B">
        <w:rPr>
          <w:color w:val="262626" w:themeColor="text1" w:themeTint="D9"/>
          <w:sz w:val="20"/>
        </w:rPr>
        <w:t xml:space="preserve">10 </w:t>
      </w:r>
      <w:r w:rsidRPr="00C57D4B">
        <w:rPr>
          <w:color w:val="262626" w:themeColor="text1" w:themeTint="D9"/>
          <w:sz w:val="20"/>
        </w:rPr>
        <w:t>classes ranging from G to A++</w:t>
      </w:r>
      <w:r w:rsidR="0019732A" w:rsidRPr="00C57D4B">
        <w:rPr>
          <w:color w:val="262626" w:themeColor="text1" w:themeTint="D9"/>
          <w:sz w:val="20"/>
        </w:rPr>
        <w:t>+</w:t>
      </w:r>
      <w:r w:rsidRPr="00C57D4B">
        <w:rPr>
          <w:color w:val="262626" w:themeColor="text1" w:themeTint="D9"/>
          <w:sz w:val="20"/>
        </w:rPr>
        <w:t>. It shows that, contrary to most other energy labelled products, the highest energy label classes are practically empty</w:t>
      </w:r>
      <w:r w:rsidR="00C2637F">
        <w:rPr>
          <w:color w:val="262626" w:themeColor="text1" w:themeTint="D9"/>
          <w:sz w:val="20"/>
        </w:rPr>
        <w:t>,</w:t>
      </w:r>
      <w:r w:rsidRPr="00C57D4B">
        <w:rPr>
          <w:color w:val="262626" w:themeColor="text1" w:themeTint="D9"/>
          <w:sz w:val="20"/>
        </w:rPr>
        <w:t xml:space="preserve"> and most sales are in the C and D classes</w:t>
      </w:r>
      <w:r w:rsidR="00694D59">
        <w:rPr>
          <w:color w:val="262626" w:themeColor="text1" w:themeTint="D9"/>
          <w:sz w:val="20"/>
        </w:rPr>
        <w:t xml:space="preserve">. </w:t>
      </w:r>
      <w:r w:rsidR="006978EF" w:rsidRPr="00C57D4B">
        <w:rPr>
          <w:color w:val="262626" w:themeColor="text1" w:themeTint="D9"/>
          <w:sz w:val="20"/>
        </w:rPr>
        <w:t>A</w:t>
      </w:r>
      <w:r w:rsidR="0012235E" w:rsidRPr="00C57D4B">
        <w:rPr>
          <w:color w:val="262626" w:themeColor="text1" w:themeTint="D9"/>
          <w:sz w:val="20"/>
        </w:rPr>
        <w:t>n analysis of possible corrections for typology (temperature levels, form factor, size) suggests that the calculation method is adequate</w:t>
      </w:r>
      <w:r w:rsidR="0057680B" w:rsidRPr="00C57D4B">
        <w:rPr>
          <w:color w:val="262626" w:themeColor="text1" w:themeTint="D9"/>
          <w:sz w:val="20"/>
        </w:rPr>
        <w:t>, also for counter cabinets.</w:t>
      </w:r>
      <w:r w:rsidR="0012235E" w:rsidRPr="00C57D4B">
        <w:rPr>
          <w:color w:val="262626" w:themeColor="text1" w:themeTint="D9"/>
          <w:sz w:val="20"/>
        </w:rPr>
        <w:t xml:space="preserve"> </w:t>
      </w:r>
      <w:r w:rsidR="00694D59">
        <w:rPr>
          <w:color w:val="262626" w:themeColor="text1" w:themeTint="D9"/>
          <w:sz w:val="20"/>
        </w:rPr>
        <w:t>The substantial EPREL data set enables statistically robust reference lines (M and N values) to be set for the revised label thresholds, improving the fairness of class definitions across the various cabinet types.</w:t>
      </w:r>
    </w:p>
    <w:p w14:paraId="4E6C2002" w14:textId="77777777" w:rsidR="00A113DE" w:rsidRDefault="001C1808" w:rsidP="00CE3DEA">
      <w:pPr>
        <w:pStyle w:val="Body"/>
        <w:keepNext/>
        <w:spacing w:line="276" w:lineRule="auto"/>
        <w:jc w:val="both"/>
      </w:pPr>
      <w:r w:rsidRPr="00C57D4B">
        <w:rPr>
          <w:noProof/>
          <w:color w:val="262626" w:themeColor="text1" w:themeTint="D9"/>
          <w:lang w:val="fr-BE" w:eastAsia="fr-BE"/>
        </w:rPr>
        <w:drawing>
          <wp:inline distT="0" distB="0" distL="0" distR="0" wp14:anchorId="179D80AA" wp14:editId="6168BC1E">
            <wp:extent cx="5760085" cy="2272665"/>
            <wp:effectExtent l="0" t="0" r="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a:off x="0" y="0"/>
                      <a:ext cx="5760085" cy="2272665"/>
                    </a:xfrm>
                    <a:prstGeom prst="rect">
                      <a:avLst/>
                    </a:prstGeom>
                  </pic:spPr>
                </pic:pic>
              </a:graphicData>
            </a:graphic>
          </wp:inline>
        </w:drawing>
      </w:r>
    </w:p>
    <w:p w14:paraId="59785F32" w14:textId="1CB5C942" w:rsidR="001C1808" w:rsidRPr="00AA24C0" w:rsidRDefault="00A113DE" w:rsidP="00CE3DEA">
      <w:pPr>
        <w:pStyle w:val="Caption"/>
        <w:rPr>
          <w:i/>
          <w:iCs/>
          <w:color w:val="262626" w:themeColor="text1" w:themeTint="D9"/>
          <w:sz w:val="18"/>
          <w:szCs w:val="18"/>
        </w:rPr>
      </w:pPr>
      <w:r w:rsidRPr="00AA24C0">
        <w:rPr>
          <w:rFonts w:ascii="Verdana" w:hAnsi="Verdana"/>
          <w:i/>
          <w:iCs/>
          <w:sz w:val="18"/>
          <w:szCs w:val="18"/>
        </w:rPr>
        <w:t>Figure 8: Energy label classes for counter and vertical cabinets.</w:t>
      </w:r>
    </w:p>
    <w:p w14:paraId="5385E7B6" w14:textId="77777777" w:rsidR="00A113DE" w:rsidRDefault="00A113DE" w:rsidP="00C57D4B">
      <w:pPr>
        <w:pStyle w:val="Body"/>
        <w:spacing w:line="276" w:lineRule="auto"/>
        <w:jc w:val="both"/>
        <w:rPr>
          <w:color w:val="262626" w:themeColor="text1" w:themeTint="D9"/>
          <w:sz w:val="20"/>
        </w:rPr>
      </w:pPr>
    </w:p>
    <w:p w14:paraId="4ADFDCD1" w14:textId="18BFCF79" w:rsidR="00694D59" w:rsidRPr="00143F4E" w:rsidRDefault="00694D59" w:rsidP="00694D59">
      <w:pPr>
        <w:pStyle w:val="Body"/>
        <w:spacing w:line="276" w:lineRule="auto"/>
        <w:jc w:val="both"/>
        <w:rPr>
          <w:color w:val="262626" w:themeColor="text1" w:themeTint="D9"/>
          <w:sz w:val="20"/>
        </w:rPr>
      </w:pPr>
      <w:r w:rsidRPr="00143F4E">
        <w:rPr>
          <w:color w:val="262626" w:themeColor="text1" w:themeTint="D9"/>
          <w:sz w:val="20"/>
        </w:rPr>
        <w:t>Th</w:t>
      </w:r>
      <w:r>
        <w:rPr>
          <w:color w:val="262626" w:themeColor="text1" w:themeTint="D9"/>
          <w:sz w:val="20"/>
        </w:rPr>
        <w:t xml:space="preserve">e EPREL data </w:t>
      </w:r>
      <w:r w:rsidRPr="00143F4E">
        <w:rPr>
          <w:color w:val="262626" w:themeColor="text1" w:themeTint="D9"/>
          <w:sz w:val="20"/>
        </w:rPr>
        <w:t xml:space="preserve">suggests that the current class limits are still ambitious, and the adjustment could focus on </w:t>
      </w:r>
      <w:r>
        <w:rPr>
          <w:color w:val="262626" w:themeColor="text1" w:themeTint="D9"/>
          <w:sz w:val="20"/>
        </w:rPr>
        <w:t xml:space="preserve">progressively </w:t>
      </w:r>
      <w:r w:rsidRPr="00143F4E">
        <w:rPr>
          <w:color w:val="262626" w:themeColor="text1" w:themeTint="D9"/>
          <w:sz w:val="20"/>
        </w:rPr>
        <w:t>eliminating lowest classes (</w:t>
      </w:r>
      <w:r>
        <w:rPr>
          <w:color w:val="262626" w:themeColor="text1" w:themeTint="D9"/>
          <w:sz w:val="20"/>
        </w:rPr>
        <w:t xml:space="preserve">G, F, </w:t>
      </w:r>
      <w:proofErr w:type="gramStart"/>
      <w:r>
        <w:rPr>
          <w:color w:val="262626" w:themeColor="text1" w:themeTint="D9"/>
          <w:sz w:val="20"/>
        </w:rPr>
        <w:t>E</w:t>
      </w:r>
      <w:proofErr w:type="gramEnd"/>
      <w:r w:rsidRPr="00143F4E">
        <w:rPr>
          <w:color w:val="262626" w:themeColor="text1" w:themeTint="D9"/>
          <w:sz w:val="20"/>
        </w:rPr>
        <w:t xml:space="preserve">) </w:t>
      </w:r>
      <w:r>
        <w:rPr>
          <w:color w:val="262626" w:themeColor="text1" w:themeTint="D9"/>
          <w:sz w:val="20"/>
        </w:rPr>
        <w:t xml:space="preserve">and setting up bands A to D to incentivise improvement, </w:t>
      </w:r>
      <w:r w:rsidRPr="00143F4E">
        <w:rPr>
          <w:color w:val="262626" w:themeColor="text1" w:themeTint="D9"/>
          <w:sz w:val="20"/>
        </w:rPr>
        <w:t xml:space="preserve">in conformity with the 2017 Energy Label Regulation. </w:t>
      </w:r>
      <w:r>
        <w:rPr>
          <w:color w:val="262626" w:themeColor="text1" w:themeTint="D9"/>
          <w:sz w:val="20"/>
        </w:rPr>
        <w:t xml:space="preserve">(Note that current and proposed EEI values </w:t>
      </w:r>
      <w:proofErr w:type="gramStart"/>
      <w:r>
        <w:rPr>
          <w:color w:val="262626" w:themeColor="text1" w:themeTint="D9"/>
          <w:sz w:val="20"/>
        </w:rPr>
        <w:t>cannot be directly compared</w:t>
      </w:r>
      <w:proofErr w:type="gramEnd"/>
      <w:r>
        <w:rPr>
          <w:color w:val="262626" w:themeColor="text1" w:themeTint="D9"/>
          <w:sz w:val="20"/>
        </w:rPr>
        <w:t xml:space="preserve"> due to changes also in the reference line M and N values.)</w:t>
      </w:r>
    </w:p>
    <w:p w14:paraId="5ABA701F" w14:textId="6098A9D7" w:rsidR="006830AB" w:rsidRPr="006830AB" w:rsidRDefault="00694D59" w:rsidP="006830AB">
      <w:pPr>
        <w:pStyle w:val="Body"/>
        <w:spacing w:line="276" w:lineRule="auto"/>
        <w:jc w:val="both"/>
        <w:rPr>
          <w:color w:val="262626" w:themeColor="text1" w:themeTint="D9"/>
          <w:sz w:val="20"/>
        </w:rPr>
      </w:pPr>
      <w:r>
        <w:rPr>
          <w:color w:val="262626" w:themeColor="text1" w:themeTint="D9"/>
          <w:sz w:val="20"/>
        </w:rPr>
        <w:t xml:space="preserve">Proposed revision of the </w:t>
      </w:r>
      <w:r w:rsidRPr="00143F4E">
        <w:rPr>
          <w:color w:val="262626" w:themeColor="text1" w:themeTint="D9"/>
          <w:sz w:val="20"/>
          <w:u w:val="single"/>
        </w:rPr>
        <w:t>ecodesign limit</w:t>
      </w:r>
      <w:r w:rsidRPr="00143F4E">
        <w:rPr>
          <w:color w:val="262626" w:themeColor="text1" w:themeTint="D9"/>
          <w:sz w:val="20"/>
        </w:rPr>
        <w:t xml:space="preserve"> </w:t>
      </w:r>
      <w:r>
        <w:rPr>
          <w:color w:val="262626" w:themeColor="text1" w:themeTint="D9"/>
          <w:sz w:val="20"/>
        </w:rPr>
        <w:t>takes account of apparent stagnation or even backsliding of the market in energy efficiency terms, as well as the economic downturn of the hospitality sector from COVID and other reasons. Proposed thresholds remove around 7</w:t>
      </w:r>
      <w:r w:rsidR="00E450CF">
        <w:rPr>
          <w:color w:val="262626" w:themeColor="text1" w:themeTint="D9"/>
          <w:sz w:val="20"/>
        </w:rPr>
        <w:t xml:space="preserve"> </w:t>
      </w:r>
      <w:r>
        <w:rPr>
          <w:color w:val="262626" w:themeColor="text1" w:themeTint="D9"/>
          <w:sz w:val="20"/>
        </w:rPr>
        <w:t>% of the poorest performing models in the first Tier, with a second Tier taking effect in expectation of further market recovery</w:t>
      </w:r>
      <w:r w:rsidR="006830AB">
        <w:rPr>
          <w:color w:val="262626" w:themeColor="text1" w:themeTint="D9"/>
          <w:sz w:val="20"/>
        </w:rPr>
        <w:t>. A more ambitious third Tier</w:t>
      </w:r>
      <w:r w:rsidR="004B5677">
        <w:rPr>
          <w:color w:val="262626" w:themeColor="text1" w:themeTint="D9"/>
          <w:sz w:val="20"/>
        </w:rPr>
        <w:t xml:space="preserve"> </w:t>
      </w:r>
      <w:proofErr w:type="gramStart"/>
      <w:r w:rsidR="006830AB">
        <w:rPr>
          <w:color w:val="262626" w:themeColor="text1" w:themeTint="D9"/>
          <w:sz w:val="20"/>
        </w:rPr>
        <w:t>will be introduced</w:t>
      </w:r>
      <w:proofErr w:type="gramEnd"/>
      <w:r w:rsidR="006830AB">
        <w:rPr>
          <w:color w:val="262626" w:themeColor="text1" w:themeTint="D9"/>
          <w:sz w:val="20"/>
        </w:rPr>
        <w:t xml:space="preserve"> two </w:t>
      </w:r>
      <w:r w:rsidR="006830AB">
        <w:rPr>
          <w:color w:val="262626" w:themeColor="text1" w:themeTint="D9"/>
          <w:sz w:val="20"/>
        </w:rPr>
        <w:lastRenderedPageBreak/>
        <w:t xml:space="preserve">years later, in total </w:t>
      </w:r>
      <w:r w:rsidR="006830AB" w:rsidRPr="006830AB">
        <w:rPr>
          <w:color w:val="262626" w:themeColor="text1" w:themeTint="D9"/>
          <w:sz w:val="20"/>
        </w:rPr>
        <w:t>raising efficiency by almost 30</w:t>
      </w:r>
      <w:r w:rsidR="006830AB">
        <w:rPr>
          <w:color w:val="262626" w:themeColor="text1" w:themeTint="D9"/>
          <w:sz w:val="20"/>
        </w:rPr>
        <w:t xml:space="preserve"> </w:t>
      </w:r>
      <w:r w:rsidR="006830AB" w:rsidRPr="006830AB">
        <w:rPr>
          <w:color w:val="262626" w:themeColor="text1" w:themeTint="D9"/>
          <w:sz w:val="20"/>
        </w:rPr>
        <w:t xml:space="preserve">% with respect </w:t>
      </w:r>
      <w:r w:rsidR="006830AB">
        <w:rPr>
          <w:color w:val="262626" w:themeColor="text1" w:themeTint="D9"/>
          <w:sz w:val="20"/>
        </w:rPr>
        <w:t>to</w:t>
      </w:r>
      <w:r w:rsidR="006830AB" w:rsidRPr="006830AB">
        <w:rPr>
          <w:color w:val="262626" w:themeColor="text1" w:themeTint="D9"/>
          <w:sz w:val="20"/>
        </w:rPr>
        <w:t xml:space="preserve"> today and eliminating </w:t>
      </w:r>
      <w:r w:rsidR="006830AB">
        <w:rPr>
          <w:color w:val="262626" w:themeColor="text1" w:themeTint="D9"/>
          <w:sz w:val="20"/>
        </w:rPr>
        <w:t xml:space="preserve">in total </w:t>
      </w:r>
      <w:r w:rsidR="006830AB" w:rsidRPr="006830AB">
        <w:rPr>
          <w:color w:val="262626" w:themeColor="text1" w:themeTint="D9"/>
          <w:sz w:val="20"/>
        </w:rPr>
        <w:t>about 40</w:t>
      </w:r>
      <w:r w:rsidR="006830AB">
        <w:rPr>
          <w:color w:val="262626" w:themeColor="text1" w:themeTint="D9"/>
          <w:sz w:val="20"/>
        </w:rPr>
        <w:t xml:space="preserve"> </w:t>
      </w:r>
      <w:r w:rsidR="006830AB" w:rsidRPr="006830AB">
        <w:rPr>
          <w:color w:val="262626" w:themeColor="text1" w:themeTint="D9"/>
          <w:sz w:val="20"/>
        </w:rPr>
        <w:t>% of models.</w:t>
      </w:r>
      <w:r w:rsidR="006830AB">
        <w:rPr>
          <w:color w:val="262626" w:themeColor="text1" w:themeTint="D9"/>
          <w:sz w:val="20"/>
        </w:rPr>
        <w:t xml:space="preserve"> However, the timing of this third Tier together with the cost implications will have to </w:t>
      </w:r>
      <w:proofErr w:type="gramStart"/>
      <w:r w:rsidR="006830AB">
        <w:rPr>
          <w:color w:val="262626" w:themeColor="text1" w:themeTint="D9"/>
          <w:sz w:val="20"/>
        </w:rPr>
        <w:t>be discussed</w:t>
      </w:r>
      <w:proofErr w:type="gramEnd"/>
      <w:r w:rsidR="006830AB">
        <w:rPr>
          <w:color w:val="262626" w:themeColor="text1" w:themeTint="D9"/>
          <w:sz w:val="20"/>
        </w:rPr>
        <w:t>.</w:t>
      </w:r>
    </w:p>
    <w:p w14:paraId="09272B1A" w14:textId="5BB895D0" w:rsidR="00694D59" w:rsidRDefault="00694D59" w:rsidP="006830AB">
      <w:pPr>
        <w:pStyle w:val="Body"/>
        <w:spacing w:line="276" w:lineRule="auto"/>
        <w:jc w:val="both"/>
        <w:rPr>
          <w:color w:val="262626" w:themeColor="text1" w:themeTint="D9"/>
          <w:sz w:val="20"/>
        </w:rPr>
      </w:pPr>
      <w:r>
        <w:rPr>
          <w:color w:val="262626" w:themeColor="text1" w:themeTint="D9"/>
          <w:sz w:val="20"/>
        </w:rPr>
        <w:t xml:space="preserve">Professional refrigeration has been a focus of EU market surveillance in recent years through EU co-operation (EEPLIANT2) and national efforts particularly in Scandinavian countries - such efforts to ensure a fair competitive market will remain important. </w:t>
      </w:r>
    </w:p>
    <w:p w14:paraId="0F0CB35B" w14:textId="168BB79F" w:rsidR="001566CF" w:rsidRDefault="001566CF" w:rsidP="001566CF">
      <w:pPr>
        <w:pStyle w:val="Body"/>
        <w:spacing w:line="276" w:lineRule="auto"/>
        <w:jc w:val="both"/>
        <w:rPr>
          <w:color w:val="262626" w:themeColor="text1" w:themeTint="D9"/>
          <w:sz w:val="20"/>
        </w:rPr>
      </w:pPr>
      <w:r w:rsidRPr="00AC1C9B">
        <w:rPr>
          <w:color w:val="262626" w:themeColor="text1" w:themeTint="D9"/>
          <w:sz w:val="20"/>
        </w:rPr>
        <w:t xml:space="preserve">In the proposal, there are a handful of appliances already in energy label class A, which requires some explanation. The framework regulation says that the Commission “shall ensure that no products are expected to fall into energy class A at the moment of the introduction of the label and the estimated time within which a majority of models falls into that class is at least 10 years later”. The latter criterion </w:t>
      </w:r>
      <w:proofErr w:type="gramStart"/>
      <w:r w:rsidRPr="00AC1C9B">
        <w:rPr>
          <w:color w:val="262626" w:themeColor="text1" w:themeTint="D9"/>
          <w:sz w:val="20"/>
        </w:rPr>
        <w:t>is well and truly met</w:t>
      </w:r>
      <w:proofErr w:type="gramEnd"/>
      <w:r w:rsidRPr="00AC1C9B">
        <w:rPr>
          <w:color w:val="262626" w:themeColor="text1" w:themeTint="D9"/>
          <w:sz w:val="20"/>
        </w:rPr>
        <w:t xml:space="preserve"> due to the economic realities of the sector, but not the former criterion. According to EPREL data, there are </w:t>
      </w:r>
      <w:r w:rsidR="003B0CFD">
        <w:rPr>
          <w:color w:val="262626" w:themeColor="text1" w:themeTint="D9"/>
          <w:sz w:val="20"/>
        </w:rPr>
        <w:t>few</w:t>
      </w:r>
      <w:r w:rsidRPr="00AC1C9B">
        <w:rPr>
          <w:color w:val="262626" w:themeColor="text1" w:themeTint="D9"/>
          <w:sz w:val="20"/>
        </w:rPr>
        <w:t xml:space="preserve"> out of 9974 models in the A class category with EEI below </w:t>
      </w:r>
      <w:r w:rsidR="003B0CFD">
        <w:rPr>
          <w:color w:val="262626" w:themeColor="text1" w:themeTint="D9"/>
          <w:sz w:val="20"/>
        </w:rPr>
        <w:t>30</w:t>
      </w:r>
      <w:r w:rsidRPr="00AC1C9B">
        <w:rPr>
          <w:color w:val="262626" w:themeColor="text1" w:themeTint="D9"/>
          <w:sz w:val="20"/>
        </w:rPr>
        <w:t xml:space="preserve"> in the proposed scheme. This represents </w:t>
      </w:r>
      <w:r w:rsidR="003B0CFD">
        <w:rPr>
          <w:color w:val="262626" w:themeColor="text1" w:themeTint="D9"/>
          <w:sz w:val="20"/>
        </w:rPr>
        <w:t>&lt;</w:t>
      </w:r>
      <w:r w:rsidRPr="00AC1C9B">
        <w:rPr>
          <w:color w:val="262626" w:themeColor="text1" w:themeTint="D9"/>
          <w:sz w:val="20"/>
        </w:rPr>
        <w:t>0.</w:t>
      </w:r>
      <w:r w:rsidR="003B0CFD">
        <w:rPr>
          <w:color w:val="262626" w:themeColor="text1" w:themeTint="D9"/>
          <w:sz w:val="20"/>
        </w:rPr>
        <w:t>5</w:t>
      </w:r>
      <w:r w:rsidR="00A60EAA">
        <w:rPr>
          <w:color w:val="262626" w:themeColor="text1" w:themeTint="D9"/>
          <w:sz w:val="20"/>
        </w:rPr>
        <w:t xml:space="preserve"> </w:t>
      </w:r>
      <w:r w:rsidRPr="00AC1C9B">
        <w:rPr>
          <w:color w:val="262626" w:themeColor="text1" w:themeTint="D9"/>
          <w:sz w:val="20"/>
        </w:rPr>
        <w:t xml:space="preserve">% of EPREL models and all are small frozen cabinets (110 to 260 litres). As premium quality and so relatively high-priced models, these would account for a vanishingly small proportion of the EU market. The proposed label thresholds are carefully designed to encourage (or at least not dissuade) upward movement. If </w:t>
      </w:r>
      <w:proofErr w:type="gramStart"/>
      <w:r w:rsidRPr="00AC1C9B">
        <w:rPr>
          <w:color w:val="262626" w:themeColor="text1" w:themeTint="D9"/>
          <w:sz w:val="20"/>
        </w:rPr>
        <w:t>A</w:t>
      </w:r>
      <w:proofErr w:type="gramEnd"/>
      <w:r w:rsidRPr="00AC1C9B">
        <w:rPr>
          <w:color w:val="262626" w:themeColor="text1" w:themeTint="D9"/>
          <w:sz w:val="20"/>
        </w:rPr>
        <w:t xml:space="preserve"> class is to be empty, then the EEI threshold must move to 16 </w:t>
      </w:r>
      <w:r w:rsidR="00A60EAA">
        <w:rPr>
          <w:color w:val="262626" w:themeColor="text1" w:themeTint="D9"/>
          <w:sz w:val="20"/>
        </w:rPr>
        <w:t>—</w:t>
      </w:r>
      <w:r w:rsidRPr="00AC1C9B">
        <w:rPr>
          <w:color w:val="262626" w:themeColor="text1" w:themeTint="D9"/>
          <w:sz w:val="20"/>
        </w:rPr>
        <w:t xml:space="preserve"> a further cut in energy consumption of almost 50% from the current threshold. If the G/F/E thresholds are moved up to </w:t>
      </w:r>
      <w:r>
        <w:rPr>
          <w:color w:val="262626" w:themeColor="text1" w:themeTint="D9"/>
          <w:sz w:val="20"/>
        </w:rPr>
        <w:t xml:space="preserve">keep step sizes even </w:t>
      </w:r>
      <w:r w:rsidRPr="00AC1C9B">
        <w:rPr>
          <w:color w:val="262626" w:themeColor="text1" w:themeTint="D9"/>
          <w:sz w:val="20"/>
        </w:rPr>
        <w:t xml:space="preserve">then the majority of the market would be </w:t>
      </w:r>
      <w:r w:rsidR="00AA24C0">
        <w:rPr>
          <w:color w:val="262626" w:themeColor="text1" w:themeTint="D9"/>
          <w:sz w:val="20"/>
        </w:rPr>
        <w:t>(</w:t>
      </w:r>
      <w:r w:rsidRPr="00AC1C9B">
        <w:rPr>
          <w:color w:val="262626" w:themeColor="text1" w:themeTint="D9"/>
          <w:sz w:val="20"/>
        </w:rPr>
        <w:t>worse than</w:t>
      </w:r>
      <w:r w:rsidR="00AA24C0">
        <w:rPr>
          <w:color w:val="262626" w:themeColor="text1" w:themeTint="D9"/>
          <w:sz w:val="20"/>
        </w:rPr>
        <w:t>)</w:t>
      </w:r>
      <w:r w:rsidRPr="00AC1C9B">
        <w:rPr>
          <w:color w:val="262626" w:themeColor="text1" w:themeTint="D9"/>
          <w:sz w:val="20"/>
        </w:rPr>
        <w:t xml:space="preserve"> G class, slashing consumer choice at Tier 1 MEPS and making a movement to Tier 2 </w:t>
      </w:r>
      <w:r w:rsidR="00D56575">
        <w:rPr>
          <w:color w:val="262626" w:themeColor="text1" w:themeTint="D9"/>
          <w:sz w:val="20"/>
        </w:rPr>
        <w:t xml:space="preserve">and Tier 3 </w:t>
      </w:r>
      <w:r w:rsidRPr="00AC1C9B">
        <w:rPr>
          <w:color w:val="262626" w:themeColor="text1" w:themeTint="D9"/>
          <w:sz w:val="20"/>
        </w:rPr>
        <w:t>difficult to rationalise</w:t>
      </w:r>
      <w:r>
        <w:rPr>
          <w:rStyle w:val="FootnoteReference"/>
          <w:color w:val="262626" w:themeColor="text1" w:themeTint="D9"/>
        </w:rPr>
        <w:footnoteReference w:id="38"/>
      </w:r>
      <w:r w:rsidRPr="00AC1C9B">
        <w:rPr>
          <w:color w:val="262626" w:themeColor="text1" w:themeTint="D9"/>
          <w:sz w:val="20"/>
        </w:rPr>
        <w:t xml:space="preserve">. The proposal to allow a few products in class A </w:t>
      </w:r>
      <w:proofErr w:type="gramStart"/>
      <w:r w:rsidRPr="00AC1C9B">
        <w:rPr>
          <w:color w:val="262626" w:themeColor="text1" w:themeTint="D9"/>
          <w:sz w:val="20"/>
        </w:rPr>
        <w:t>is therefore made</w:t>
      </w:r>
      <w:proofErr w:type="gramEnd"/>
      <w:r w:rsidRPr="00AC1C9B">
        <w:rPr>
          <w:color w:val="262626" w:themeColor="text1" w:themeTint="D9"/>
          <w:sz w:val="20"/>
        </w:rPr>
        <w:t>.</w:t>
      </w:r>
    </w:p>
    <w:p w14:paraId="3EAD2A82" w14:textId="77777777" w:rsidR="00694D59" w:rsidRPr="00143F4E" w:rsidRDefault="00694D59" w:rsidP="00694D59">
      <w:pPr>
        <w:pStyle w:val="Body"/>
        <w:spacing w:line="276" w:lineRule="auto"/>
        <w:jc w:val="both"/>
        <w:rPr>
          <w:color w:val="262626" w:themeColor="text1" w:themeTint="D9"/>
          <w:sz w:val="20"/>
        </w:rPr>
      </w:pPr>
      <w:r>
        <w:rPr>
          <w:color w:val="262626" w:themeColor="text1" w:themeTint="D9"/>
          <w:sz w:val="20"/>
        </w:rPr>
        <w:t>EPREL data shows that t</w:t>
      </w:r>
      <w:r w:rsidRPr="00143F4E">
        <w:rPr>
          <w:color w:val="262626" w:themeColor="text1" w:themeTint="D9"/>
          <w:sz w:val="20"/>
        </w:rPr>
        <w:t>he distribution of label classes for all heavy-duty cabinets is extremely similar to that for standard duty cabinets</w:t>
      </w:r>
      <w:r>
        <w:rPr>
          <w:color w:val="262626" w:themeColor="text1" w:themeTint="D9"/>
          <w:sz w:val="20"/>
        </w:rPr>
        <w:t xml:space="preserve">, with </w:t>
      </w:r>
      <w:proofErr w:type="gramStart"/>
      <w:r>
        <w:rPr>
          <w:color w:val="262626" w:themeColor="text1" w:themeTint="D9"/>
          <w:sz w:val="20"/>
        </w:rPr>
        <w:t>heavy duty</w:t>
      </w:r>
      <w:proofErr w:type="gramEnd"/>
      <w:r>
        <w:rPr>
          <w:color w:val="262626" w:themeColor="text1" w:themeTint="D9"/>
          <w:sz w:val="20"/>
        </w:rPr>
        <w:t xml:space="preserve"> cabinets competing alongside or beating the very best standard duty types. T</w:t>
      </w:r>
      <w:r w:rsidRPr="00143F4E">
        <w:rPr>
          <w:color w:val="262626" w:themeColor="text1" w:themeTint="D9"/>
          <w:sz w:val="20"/>
        </w:rPr>
        <w:t>hus</w:t>
      </w:r>
      <w:r>
        <w:rPr>
          <w:color w:val="262626" w:themeColor="text1" w:themeTint="D9"/>
          <w:sz w:val="20"/>
        </w:rPr>
        <w:t>,</w:t>
      </w:r>
      <w:r w:rsidRPr="00143F4E">
        <w:rPr>
          <w:color w:val="262626" w:themeColor="text1" w:themeTint="D9"/>
          <w:sz w:val="20"/>
        </w:rPr>
        <w:t xml:space="preserve"> available evidence </w:t>
      </w:r>
      <w:r>
        <w:rPr>
          <w:color w:val="262626" w:themeColor="text1" w:themeTint="D9"/>
          <w:sz w:val="20"/>
        </w:rPr>
        <w:t xml:space="preserve">confirms </w:t>
      </w:r>
      <w:r w:rsidRPr="00143F4E">
        <w:rPr>
          <w:color w:val="262626" w:themeColor="text1" w:themeTint="D9"/>
          <w:sz w:val="20"/>
        </w:rPr>
        <w:t xml:space="preserve">that the concessional EEI (currently 115 instead of 85 for the other types) </w:t>
      </w:r>
      <w:proofErr w:type="gramStart"/>
      <w:r w:rsidRPr="00143F4E">
        <w:rPr>
          <w:color w:val="262626" w:themeColor="text1" w:themeTint="D9"/>
          <w:sz w:val="20"/>
        </w:rPr>
        <w:t>should be removed</w:t>
      </w:r>
      <w:proofErr w:type="gramEnd"/>
      <w:r w:rsidRPr="00143F4E">
        <w:rPr>
          <w:color w:val="262626" w:themeColor="text1" w:themeTint="D9"/>
          <w:sz w:val="20"/>
        </w:rPr>
        <w:t>.</w:t>
      </w:r>
    </w:p>
    <w:p w14:paraId="3CCC9ABB" w14:textId="1BC11081" w:rsidR="00E450CF" w:rsidRDefault="00694D59" w:rsidP="00C57D4B">
      <w:pPr>
        <w:pStyle w:val="Body"/>
        <w:spacing w:line="276" w:lineRule="auto"/>
        <w:jc w:val="both"/>
        <w:rPr>
          <w:rFonts w:cs="Segoe UI"/>
          <w:color w:val="262626" w:themeColor="text1" w:themeTint="D9"/>
          <w:sz w:val="20"/>
        </w:rPr>
      </w:pPr>
      <w:r w:rsidRPr="00143F4E">
        <w:rPr>
          <w:color w:val="262626" w:themeColor="text1" w:themeTint="D9"/>
          <w:sz w:val="20"/>
        </w:rPr>
        <w:t xml:space="preserve">As regards the </w:t>
      </w:r>
      <w:r w:rsidRPr="00143F4E">
        <w:rPr>
          <w:color w:val="262626" w:themeColor="text1" w:themeTint="D9"/>
          <w:sz w:val="20"/>
          <w:u w:val="single"/>
        </w:rPr>
        <w:t>ex</w:t>
      </w:r>
      <w:r>
        <w:rPr>
          <w:color w:val="262626" w:themeColor="text1" w:themeTint="D9"/>
          <w:sz w:val="20"/>
          <w:u w:val="single"/>
        </w:rPr>
        <w:t>clusions</w:t>
      </w:r>
      <w:r w:rsidRPr="00143F4E">
        <w:rPr>
          <w:color w:val="262626" w:themeColor="text1" w:themeTint="D9"/>
          <w:sz w:val="20"/>
          <w:u w:val="single"/>
        </w:rPr>
        <w:t xml:space="preserve"> for cabinets in Article 1(1)</w:t>
      </w:r>
      <w:r w:rsidRPr="00143F4E">
        <w:rPr>
          <w:color w:val="262626" w:themeColor="text1" w:themeTint="D9"/>
          <w:sz w:val="20"/>
        </w:rPr>
        <w:t xml:space="preserve">, </w:t>
      </w:r>
      <w:r>
        <w:rPr>
          <w:color w:val="262626" w:themeColor="text1" w:themeTint="D9"/>
          <w:sz w:val="20"/>
        </w:rPr>
        <w:t xml:space="preserve">review and consultation on each of these confirms that </w:t>
      </w:r>
      <w:r w:rsidRPr="00143F4E">
        <w:rPr>
          <w:color w:val="262626" w:themeColor="text1" w:themeTint="D9"/>
          <w:sz w:val="20"/>
        </w:rPr>
        <w:t xml:space="preserve">the </w:t>
      </w:r>
      <w:r>
        <w:rPr>
          <w:color w:val="262626" w:themeColor="text1" w:themeTint="D9"/>
          <w:sz w:val="20"/>
        </w:rPr>
        <w:t xml:space="preserve">original </w:t>
      </w:r>
      <w:r w:rsidRPr="00143F4E">
        <w:rPr>
          <w:color w:val="262626" w:themeColor="text1" w:themeTint="D9"/>
          <w:sz w:val="20"/>
        </w:rPr>
        <w:t>reason</w:t>
      </w:r>
      <w:r>
        <w:rPr>
          <w:color w:val="262626" w:themeColor="text1" w:themeTint="D9"/>
          <w:sz w:val="20"/>
        </w:rPr>
        <w:t>s for exclusion remain valid</w:t>
      </w:r>
      <w:r w:rsidRPr="00143F4E">
        <w:rPr>
          <w:color w:val="262626" w:themeColor="text1" w:themeTint="D9"/>
          <w:sz w:val="20"/>
        </w:rPr>
        <w:t xml:space="preserve">. </w:t>
      </w:r>
      <w:r>
        <w:rPr>
          <w:color w:val="262626" w:themeColor="text1" w:themeTint="D9"/>
          <w:sz w:val="20"/>
        </w:rPr>
        <w:t xml:space="preserve">In most cases this is due to extremely low market share with </w:t>
      </w:r>
      <w:r w:rsidRPr="00143F4E">
        <w:rPr>
          <w:color w:val="262626" w:themeColor="text1" w:themeTint="D9"/>
          <w:sz w:val="20"/>
        </w:rPr>
        <w:t>sales numbers too small to warrant the development of standards and introduce a regulation (</w:t>
      </w:r>
      <w:r w:rsidRPr="00143F4E">
        <w:rPr>
          <w:i/>
          <w:iCs/>
          <w:color w:val="262626" w:themeColor="text1" w:themeTint="D9"/>
          <w:sz w:val="20"/>
        </w:rPr>
        <w:t>proportionality</w:t>
      </w:r>
      <w:r w:rsidRPr="00143F4E">
        <w:rPr>
          <w:color w:val="262626" w:themeColor="text1" w:themeTint="D9"/>
          <w:sz w:val="20"/>
        </w:rPr>
        <w:t xml:space="preserve"> criterion, see also eligibility criteria in Art. 15.2). </w:t>
      </w:r>
      <w:r>
        <w:rPr>
          <w:color w:val="262626" w:themeColor="text1" w:themeTint="D9"/>
          <w:sz w:val="20"/>
        </w:rPr>
        <w:t xml:space="preserve">Change </w:t>
      </w:r>
      <w:proofErr w:type="gramStart"/>
      <w:r>
        <w:rPr>
          <w:color w:val="262626" w:themeColor="text1" w:themeTint="D9"/>
          <w:sz w:val="20"/>
        </w:rPr>
        <w:t>is recommended</w:t>
      </w:r>
      <w:proofErr w:type="gramEnd"/>
      <w:r>
        <w:rPr>
          <w:color w:val="262626" w:themeColor="text1" w:themeTint="D9"/>
          <w:sz w:val="20"/>
        </w:rPr>
        <w:t xml:space="preserve"> only for ‘static air cabinets’ (those without an internal air circulation fan) which should be considered for future addition under household refrigerator regulations. </w:t>
      </w:r>
      <w:r w:rsidRPr="00143F4E">
        <w:rPr>
          <w:color w:val="262626" w:themeColor="text1" w:themeTint="D9"/>
          <w:sz w:val="20"/>
        </w:rPr>
        <w:t xml:space="preserve">The review study gives a full overview. </w:t>
      </w:r>
    </w:p>
    <w:p w14:paraId="6280403A" w14:textId="7319B89F" w:rsidR="00404DEF" w:rsidRPr="00C57D4B" w:rsidRDefault="00F6627E" w:rsidP="00C57D4B">
      <w:pPr>
        <w:pStyle w:val="Body"/>
        <w:spacing w:line="276" w:lineRule="auto"/>
        <w:jc w:val="both"/>
        <w:rPr>
          <w:rFonts w:cs="Segoe UI"/>
          <w:color w:val="262626" w:themeColor="text1" w:themeTint="D9"/>
          <w:sz w:val="20"/>
        </w:rPr>
      </w:pPr>
      <w:r w:rsidRPr="00C57D4B">
        <w:rPr>
          <w:rFonts w:cs="Segoe UI"/>
          <w:color w:val="262626" w:themeColor="text1" w:themeTint="D9"/>
          <w:sz w:val="20"/>
        </w:rPr>
        <w:t xml:space="preserve">The latest </w:t>
      </w:r>
      <w:r w:rsidRPr="00C57D4B">
        <w:rPr>
          <w:rFonts w:cs="Segoe UI"/>
          <w:color w:val="262626" w:themeColor="text1" w:themeTint="D9"/>
          <w:sz w:val="20"/>
          <w:u w:val="single"/>
        </w:rPr>
        <w:t>GWP-values of refrigerants</w:t>
      </w:r>
      <w:r w:rsidRPr="00C57D4B">
        <w:rPr>
          <w:rFonts w:cs="Segoe UI"/>
          <w:color w:val="262626" w:themeColor="text1" w:themeTint="D9"/>
          <w:sz w:val="20"/>
        </w:rPr>
        <w:t xml:space="preserve"> </w:t>
      </w:r>
      <w:proofErr w:type="gramStart"/>
      <w:r w:rsidRPr="00C57D4B">
        <w:rPr>
          <w:rFonts w:cs="Segoe UI"/>
          <w:color w:val="262626" w:themeColor="text1" w:themeTint="D9"/>
          <w:sz w:val="20"/>
        </w:rPr>
        <w:t>can be found</w:t>
      </w:r>
      <w:proofErr w:type="gramEnd"/>
      <w:r w:rsidRPr="00C57D4B">
        <w:rPr>
          <w:rFonts w:cs="Segoe UI"/>
          <w:color w:val="262626" w:themeColor="text1" w:themeTint="D9"/>
          <w:sz w:val="20"/>
        </w:rPr>
        <w:t xml:space="preserve"> in the Annex of the 2022 Proposal for a new F-gas regulation</w:t>
      </w:r>
      <w:r w:rsidRPr="00C57D4B">
        <w:rPr>
          <w:rStyle w:val="FootnoteReference"/>
          <w:rFonts w:cs="Segoe UI"/>
          <w:color w:val="262626" w:themeColor="text1" w:themeTint="D9"/>
        </w:rPr>
        <w:footnoteReference w:id="39"/>
      </w:r>
      <w:r w:rsidRPr="00C57D4B">
        <w:rPr>
          <w:rFonts w:cs="Segoe UI"/>
          <w:color w:val="262626" w:themeColor="text1" w:themeTint="D9"/>
          <w:sz w:val="20"/>
        </w:rPr>
        <w:t xml:space="preserve">. The latest general GWP-values </w:t>
      </w:r>
      <w:proofErr w:type="gramStart"/>
      <w:r w:rsidRPr="00C57D4B">
        <w:rPr>
          <w:rFonts w:cs="Segoe UI"/>
          <w:color w:val="262626" w:themeColor="text1" w:themeTint="D9"/>
          <w:sz w:val="20"/>
        </w:rPr>
        <w:t>can be found</w:t>
      </w:r>
      <w:proofErr w:type="gramEnd"/>
      <w:r w:rsidRPr="00C57D4B">
        <w:rPr>
          <w:rFonts w:cs="Segoe UI"/>
          <w:color w:val="262626" w:themeColor="text1" w:themeTint="D9"/>
          <w:sz w:val="20"/>
        </w:rPr>
        <w:t xml:space="preserve"> in Commission Delegated Regulation (EU) 2020/1044</w:t>
      </w:r>
      <w:r w:rsidRPr="00C57D4B">
        <w:rPr>
          <w:rStyle w:val="FootnoteReference"/>
          <w:rFonts w:cs="Segoe UI"/>
          <w:color w:val="262626" w:themeColor="text1" w:themeTint="D9"/>
        </w:rPr>
        <w:footnoteReference w:id="40"/>
      </w:r>
      <w:r w:rsidR="00404DEF" w:rsidRPr="00C57D4B">
        <w:rPr>
          <w:rFonts w:cs="Segoe UI"/>
          <w:color w:val="262626" w:themeColor="text1" w:themeTint="D9"/>
          <w:sz w:val="20"/>
        </w:rPr>
        <w:t xml:space="preserve">. </w:t>
      </w:r>
      <w:r w:rsidRPr="00C57D4B">
        <w:rPr>
          <w:rFonts w:cs="Segoe UI"/>
          <w:color w:val="262626" w:themeColor="text1" w:themeTint="D9"/>
          <w:sz w:val="20"/>
        </w:rPr>
        <w:t xml:space="preserve">Having said that, the Commission leaves the rulemaking of F-gases to the horizontal legislation, but possibly extra information </w:t>
      </w:r>
      <w:r w:rsidR="006978EF" w:rsidRPr="00C57D4B">
        <w:rPr>
          <w:rFonts w:cs="Segoe UI"/>
          <w:color w:val="262626" w:themeColor="text1" w:themeTint="D9"/>
          <w:sz w:val="20"/>
        </w:rPr>
        <w:t xml:space="preserve">on the </w:t>
      </w:r>
      <w:r w:rsidR="006978EF" w:rsidRPr="00C57D4B">
        <w:rPr>
          <w:rFonts w:cs="Segoe UI"/>
          <w:color w:val="262626" w:themeColor="text1" w:themeTint="D9"/>
          <w:sz w:val="20"/>
        </w:rPr>
        <w:lastRenderedPageBreak/>
        <w:t xml:space="preserve">GWP-used </w:t>
      </w:r>
      <w:proofErr w:type="gramStart"/>
      <w:r w:rsidRPr="00C57D4B">
        <w:rPr>
          <w:rFonts w:cs="Segoe UI"/>
          <w:color w:val="262626" w:themeColor="text1" w:themeTint="D9"/>
          <w:sz w:val="20"/>
        </w:rPr>
        <w:t>can be given</w:t>
      </w:r>
      <w:proofErr w:type="gramEnd"/>
      <w:r w:rsidRPr="00C57D4B">
        <w:rPr>
          <w:rFonts w:cs="Segoe UI"/>
          <w:color w:val="262626" w:themeColor="text1" w:themeTint="D9"/>
          <w:sz w:val="20"/>
        </w:rPr>
        <w:t xml:space="preserve"> on the energy label or in the EPREL database, accessible through the QR code on the label</w:t>
      </w:r>
      <w:r w:rsidR="006978EF" w:rsidRPr="00C57D4B">
        <w:rPr>
          <w:rFonts w:cs="Segoe UI"/>
          <w:color w:val="262626" w:themeColor="text1" w:themeTint="D9"/>
          <w:sz w:val="20"/>
        </w:rPr>
        <w:t>, to raise awareness</w:t>
      </w:r>
      <w:r w:rsidRPr="00C57D4B">
        <w:rPr>
          <w:rFonts w:cs="Segoe UI"/>
          <w:color w:val="262626" w:themeColor="text1" w:themeTint="D9"/>
          <w:sz w:val="20"/>
        </w:rPr>
        <w:t>.</w:t>
      </w:r>
    </w:p>
    <w:p w14:paraId="55F60D50" w14:textId="2D44317F" w:rsidR="00775462" w:rsidRDefault="00775462" w:rsidP="00C57D4B">
      <w:pPr>
        <w:pStyle w:val="Body"/>
        <w:spacing w:line="276" w:lineRule="auto"/>
        <w:jc w:val="both"/>
        <w:rPr>
          <w:rFonts w:cs="Segoe UI"/>
          <w:color w:val="262626" w:themeColor="text1" w:themeTint="D9"/>
          <w:sz w:val="20"/>
        </w:rPr>
      </w:pPr>
      <w:r w:rsidRPr="00C57D4B">
        <w:rPr>
          <w:rFonts w:cs="Segoe UI"/>
          <w:color w:val="262626" w:themeColor="text1" w:themeTint="D9"/>
          <w:sz w:val="20"/>
        </w:rPr>
        <w:t xml:space="preserve">The </w:t>
      </w:r>
      <w:r w:rsidRPr="00C57D4B">
        <w:rPr>
          <w:rFonts w:cs="Segoe UI"/>
          <w:color w:val="262626" w:themeColor="text1" w:themeTint="D9"/>
          <w:sz w:val="20"/>
          <w:u w:val="single"/>
        </w:rPr>
        <w:t>verification tolerance</w:t>
      </w:r>
      <w:r w:rsidRPr="00C57D4B">
        <w:rPr>
          <w:rFonts w:cs="Segoe UI"/>
          <w:color w:val="262626" w:themeColor="text1" w:themeTint="D9"/>
          <w:sz w:val="20"/>
        </w:rPr>
        <w:t xml:space="preserve"> the measured volume </w:t>
      </w:r>
      <w:r w:rsidR="008D0252" w:rsidRPr="00C57D4B">
        <w:rPr>
          <w:rFonts w:cs="Segoe UI"/>
          <w:color w:val="262626" w:themeColor="text1" w:themeTint="D9"/>
          <w:sz w:val="20"/>
        </w:rPr>
        <w:t>&lt;</w:t>
      </w:r>
      <w:r w:rsidRPr="00C57D4B">
        <w:rPr>
          <w:rFonts w:cs="Segoe UI"/>
          <w:color w:val="262626" w:themeColor="text1" w:themeTint="D9"/>
          <w:sz w:val="20"/>
        </w:rPr>
        <w:t>3</w:t>
      </w:r>
      <w:r w:rsidR="00E450CF">
        <w:rPr>
          <w:rFonts w:cs="Segoe UI"/>
          <w:color w:val="262626" w:themeColor="text1" w:themeTint="D9"/>
          <w:sz w:val="20"/>
        </w:rPr>
        <w:t xml:space="preserve"> </w:t>
      </w:r>
      <w:r w:rsidRPr="00C57D4B">
        <w:rPr>
          <w:rFonts w:cs="Segoe UI"/>
          <w:color w:val="262626" w:themeColor="text1" w:themeTint="D9"/>
          <w:sz w:val="20"/>
        </w:rPr>
        <w:t xml:space="preserve">% and for the rated energy consumption it is </w:t>
      </w:r>
      <w:r w:rsidR="008D0252" w:rsidRPr="00C57D4B">
        <w:rPr>
          <w:rFonts w:cs="Segoe UI"/>
          <w:color w:val="262626" w:themeColor="text1" w:themeTint="D9"/>
          <w:sz w:val="20"/>
        </w:rPr>
        <w:t>&lt;</w:t>
      </w:r>
      <w:r w:rsidRPr="00C57D4B">
        <w:rPr>
          <w:rFonts w:cs="Segoe UI"/>
          <w:color w:val="262626" w:themeColor="text1" w:themeTint="D9"/>
          <w:sz w:val="20"/>
        </w:rPr>
        <w:t>10</w:t>
      </w:r>
      <w:r w:rsidR="00E450CF">
        <w:rPr>
          <w:rFonts w:cs="Segoe UI"/>
          <w:color w:val="262626" w:themeColor="text1" w:themeTint="D9"/>
          <w:sz w:val="20"/>
        </w:rPr>
        <w:t xml:space="preserve"> </w:t>
      </w:r>
      <w:r w:rsidRPr="00C57D4B">
        <w:rPr>
          <w:rFonts w:cs="Segoe UI"/>
          <w:color w:val="262626" w:themeColor="text1" w:themeTint="D9"/>
          <w:sz w:val="20"/>
        </w:rPr>
        <w:t xml:space="preserve">% for refrigerating cabinets. </w:t>
      </w:r>
      <w:r w:rsidR="008D0252" w:rsidRPr="00C57D4B">
        <w:rPr>
          <w:rFonts w:cs="Segoe UI"/>
          <w:color w:val="262626" w:themeColor="text1" w:themeTint="D9"/>
          <w:sz w:val="20"/>
        </w:rPr>
        <w:t>This is in line with verification tolerances for the 2019 Ecodesign regulation of household refrigerators and direct-sales refrigeration cabinets</w:t>
      </w:r>
      <w:r w:rsidR="00C67716" w:rsidRPr="00C57D4B">
        <w:rPr>
          <w:rStyle w:val="FootnoteReference"/>
          <w:rFonts w:cs="Segoe UI"/>
          <w:color w:val="262626" w:themeColor="text1" w:themeTint="D9"/>
        </w:rPr>
        <w:footnoteReference w:id="41"/>
      </w:r>
      <w:r w:rsidR="00A113DE">
        <w:rPr>
          <w:rFonts w:cs="Segoe UI"/>
          <w:color w:val="262626" w:themeColor="text1" w:themeTint="D9"/>
          <w:sz w:val="20"/>
        </w:rPr>
        <w:t>.</w:t>
      </w:r>
    </w:p>
    <w:p w14:paraId="0C72BEC1" w14:textId="416F1F11" w:rsidR="004A25F4" w:rsidRDefault="0025325F" w:rsidP="00CE3DEA">
      <w:pPr>
        <w:pStyle w:val="Heading2"/>
        <w:tabs>
          <w:tab w:val="clear" w:pos="1712"/>
        </w:tabs>
      </w:pPr>
      <w:r>
        <w:t>Blast cabinets</w:t>
      </w:r>
    </w:p>
    <w:p w14:paraId="01C97E65" w14:textId="2D0D527A" w:rsidR="0094145E" w:rsidRPr="00C57D4B" w:rsidRDefault="00596F93" w:rsidP="0094145E">
      <w:pPr>
        <w:pStyle w:val="Body"/>
        <w:spacing w:line="276" w:lineRule="auto"/>
        <w:jc w:val="both"/>
        <w:rPr>
          <w:color w:val="262626" w:themeColor="text1" w:themeTint="D9"/>
          <w:sz w:val="20"/>
        </w:rPr>
      </w:pPr>
      <w:r w:rsidRPr="00C57D4B">
        <w:rPr>
          <w:bCs/>
          <w:color w:val="262626" w:themeColor="text1" w:themeTint="D9"/>
          <w:sz w:val="20"/>
        </w:rPr>
        <w:t>B</w:t>
      </w:r>
      <w:r>
        <w:rPr>
          <w:bCs/>
          <w:color w:val="262626" w:themeColor="text1" w:themeTint="D9"/>
          <w:sz w:val="20"/>
        </w:rPr>
        <w:t>last cabinets are only subject to information requirements in the current ecodesign regulation, but</w:t>
      </w:r>
      <w:r w:rsidRPr="00596F93">
        <w:t xml:space="preserve"> </w:t>
      </w:r>
      <w:r w:rsidRPr="00596F93">
        <w:rPr>
          <w:bCs/>
          <w:color w:val="262626" w:themeColor="text1" w:themeTint="D9"/>
          <w:sz w:val="20"/>
        </w:rPr>
        <w:t>an assessment of the appropriateness of introducing ecodesign requirements for these products</w:t>
      </w:r>
      <w:r>
        <w:rPr>
          <w:bCs/>
          <w:color w:val="262626" w:themeColor="text1" w:themeTint="D9"/>
          <w:sz w:val="20"/>
        </w:rPr>
        <w:t xml:space="preserve"> is included in the review clause. </w:t>
      </w:r>
      <w:r w:rsidR="0094145E">
        <w:rPr>
          <w:bCs/>
          <w:color w:val="262626" w:themeColor="text1" w:themeTint="D9"/>
          <w:sz w:val="20"/>
        </w:rPr>
        <w:t>T</w:t>
      </w:r>
      <w:r w:rsidR="0094145E" w:rsidRPr="00C57D4B">
        <w:rPr>
          <w:color w:val="262626" w:themeColor="text1" w:themeTint="D9"/>
          <w:sz w:val="20"/>
        </w:rPr>
        <w:t xml:space="preserve">he review study found </w:t>
      </w:r>
      <w:r w:rsidR="0094145E">
        <w:rPr>
          <w:color w:val="262626" w:themeColor="text1" w:themeTint="D9"/>
          <w:sz w:val="20"/>
        </w:rPr>
        <w:t xml:space="preserve">supporting evidence and technical feasibility </w:t>
      </w:r>
      <w:proofErr w:type="gramStart"/>
      <w:r w:rsidR="0094145E">
        <w:rPr>
          <w:color w:val="262626" w:themeColor="text1" w:themeTint="D9"/>
          <w:sz w:val="20"/>
        </w:rPr>
        <w:t xml:space="preserve">to now </w:t>
      </w:r>
      <w:r w:rsidR="0094145E" w:rsidRPr="00C57D4B">
        <w:rPr>
          <w:color w:val="262626" w:themeColor="text1" w:themeTint="D9"/>
          <w:sz w:val="20"/>
        </w:rPr>
        <w:t>include</w:t>
      </w:r>
      <w:proofErr w:type="gramEnd"/>
      <w:r w:rsidR="0094145E" w:rsidRPr="00C57D4B">
        <w:rPr>
          <w:color w:val="262626" w:themeColor="text1" w:themeTint="D9"/>
          <w:sz w:val="20"/>
        </w:rPr>
        <w:t xml:space="preserve"> </w:t>
      </w:r>
      <w:r w:rsidR="0094145E" w:rsidRPr="00C57D4B">
        <w:rPr>
          <w:color w:val="262626" w:themeColor="text1" w:themeTint="D9"/>
          <w:sz w:val="20"/>
          <w:u w:val="single"/>
        </w:rPr>
        <w:t>blast cabinets</w:t>
      </w:r>
      <w:r w:rsidR="0094145E" w:rsidRPr="00C57D4B">
        <w:rPr>
          <w:color w:val="262626" w:themeColor="text1" w:themeTint="D9"/>
          <w:sz w:val="20"/>
        </w:rPr>
        <w:t xml:space="preserve"> in the scope</w:t>
      </w:r>
      <w:r w:rsidR="0094145E">
        <w:rPr>
          <w:color w:val="262626" w:themeColor="text1" w:themeTint="D9"/>
          <w:sz w:val="20"/>
        </w:rPr>
        <w:t xml:space="preserve"> for efficiency requirements</w:t>
      </w:r>
      <w:r w:rsidR="0094145E" w:rsidRPr="00C57D4B">
        <w:rPr>
          <w:color w:val="262626" w:themeColor="text1" w:themeTint="D9"/>
          <w:sz w:val="20"/>
        </w:rPr>
        <w:t xml:space="preserve">. Their electricity consumption is significant, about 5 TWh/a (approximately half of the professional cabinets currently in the scope) and the information requirements that are currently required for this product group, as well as the </w:t>
      </w:r>
      <w:r w:rsidR="0094145E">
        <w:rPr>
          <w:color w:val="262626" w:themeColor="text1" w:themeTint="D9"/>
          <w:sz w:val="20"/>
        </w:rPr>
        <w:t xml:space="preserve">newly </w:t>
      </w:r>
      <w:r w:rsidR="0094145E" w:rsidRPr="00C57D4B">
        <w:rPr>
          <w:color w:val="262626" w:themeColor="text1" w:themeTint="D9"/>
          <w:sz w:val="20"/>
        </w:rPr>
        <w:t>available standards, give enough input for a correct energy and performance metric.</w:t>
      </w:r>
    </w:p>
    <w:p w14:paraId="1CC36B80" w14:textId="06EFD22F" w:rsidR="00BF4C42" w:rsidRDefault="00596F93" w:rsidP="00596F93">
      <w:pPr>
        <w:spacing w:line="276" w:lineRule="auto"/>
        <w:rPr>
          <w:rFonts w:ascii="Verdana" w:hAnsi="Verdana"/>
          <w:bCs/>
          <w:color w:val="262626" w:themeColor="text1" w:themeTint="D9"/>
          <w:sz w:val="20"/>
        </w:rPr>
      </w:pPr>
      <w:r>
        <w:rPr>
          <w:rFonts w:ascii="Verdana" w:hAnsi="Verdana"/>
          <w:bCs/>
          <w:color w:val="262626" w:themeColor="text1" w:themeTint="D9"/>
          <w:sz w:val="20"/>
        </w:rPr>
        <w:t>B</w:t>
      </w:r>
      <w:r w:rsidRPr="00C57D4B">
        <w:rPr>
          <w:rFonts w:ascii="Verdana" w:hAnsi="Verdana"/>
          <w:bCs/>
          <w:color w:val="262626" w:themeColor="text1" w:themeTint="D9"/>
          <w:sz w:val="20"/>
        </w:rPr>
        <w:t>ased on comprehensive research</w:t>
      </w:r>
      <w:r>
        <w:rPr>
          <w:rFonts w:ascii="Verdana" w:hAnsi="Verdana"/>
          <w:bCs/>
          <w:color w:val="262626" w:themeColor="text1" w:themeTint="D9"/>
          <w:sz w:val="20"/>
        </w:rPr>
        <w:t xml:space="preserve"> of data received by stakeholders, a proposal </w:t>
      </w:r>
      <w:proofErr w:type="gramStart"/>
      <w:r>
        <w:rPr>
          <w:rFonts w:ascii="Verdana" w:hAnsi="Verdana"/>
          <w:bCs/>
          <w:color w:val="262626" w:themeColor="text1" w:themeTint="D9"/>
          <w:sz w:val="20"/>
        </w:rPr>
        <w:t>was put</w:t>
      </w:r>
      <w:proofErr w:type="gramEnd"/>
      <w:r>
        <w:rPr>
          <w:rFonts w:ascii="Verdana" w:hAnsi="Verdana"/>
          <w:bCs/>
          <w:color w:val="262626" w:themeColor="text1" w:themeTint="D9"/>
          <w:sz w:val="20"/>
        </w:rPr>
        <w:t xml:space="preserve"> forward in the first interim report and subsequently the second stakeholder meeting of </w:t>
      </w:r>
      <w:r w:rsidR="00110B04">
        <w:rPr>
          <w:rFonts w:ascii="Verdana" w:hAnsi="Verdana"/>
          <w:bCs/>
          <w:color w:val="262626" w:themeColor="text1" w:themeTint="D9"/>
          <w:sz w:val="20"/>
        </w:rPr>
        <w:t xml:space="preserve">a maximum energy consumption of </w:t>
      </w:r>
      <w:r>
        <w:rPr>
          <w:rFonts w:ascii="Verdana" w:hAnsi="Verdana"/>
          <w:bCs/>
          <w:color w:val="262626" w:themeColor="text1" w:themeTint="D9"/>
          <w:sz w:val="20"/>
        </w:rPr>
        <w:t>0</w:t>
      </w:r>
      <w:r w:rsidR="00E450CF">
        <w:rPr>
          <w:rFonts w:ascii="Verdana" w:hAnsi="Verdana"/>
          <w:bCs/>
          <w:color w:val="262626" w:themeColor="text1" w:themeTint="D9"/>
          <w:sz w:val="20"/>
        </w:rPr>
        <w:t>.</w:t>
      </w:r>
      <w:r>
        <w:rPr>
          <w:rFonts w:ascii="Verdana" w:hAnsi="Verdana"/>
          <w:bCs/>
          <w:color w:val="262626" w:themeColor="text1" w:themeTint="D9"/>
          <w:sz w:val="20"/>
        </w:rPr>
        <w:t>095 kWh/cycle</w:t>
      </w:r>
      <w:r w:rsidR="00110B04">
        <w:rPr>
          <w:rFonts w:ascii="Verdana" w:hAnsi="Verdana"/>
          <w:bCs/>
          <w:color w:val="262626" w:themeColor="text1" w:themeTint="D9"/>
          <w:sz w:val="20"/>
        </w:rPr>
        <w:t>/kg for chilling, and 0</w:t>
      </w:r>
      <w:r w:rsidR="00E450CF">
        <w:rPr>
          <w:rFonts w:ascii="Verdana" w:hAnsi="Verdana"/>
          <w:bCs/>
          <w:color w:val="262626" w:themeColor="text1" w:themeTint="D9"/>
          <w:sz w:val="20"/>
        </w:rPr>
        <w:t>.</w:t>
      </w:r>
      <w:r w:rsidR="00110B04">
        <w:rPr>
          <w:rFonts w:ascii="Verdana" w:hAnsi="Verdana"/>
          <w:bCs/>
          <w:color w:val="262626" w:themeColor="text1" w:themeTint="D9"/>
          <w:sz w:val="20"/>
        </w:rPr>
        <w:t>31 kWh/cycle/kg for freezing, where multi-use cabinets have to meet both requirement</w:t>
      </w:r>
      <w:r w:rsidR="00BF4C42">
        <w:rPr>
          <w:rFonts w:ascii="Verdana" w:hAnsi="Verdana"/>
          <w:bCs/>
          <w:color w:val="262626" w:themeColor="text1" w:themeTint="D9"/>
          <w:sz w:val="20"/>
        </w:rPr>
        <w:t>s</w:t>
      </w:r>
      <w:r w:rsidR="00110B04">
        <w:rPr>
          <w:rFonts w:ascii="Verdana" w:hAnsi="Verdana"/>
          <w:bCs/>
          <w:color w:val="262626" w:themeColor="text1" w:themeTint="D9"/>
          <w:sz w:val="20"/>
        </w:rPr>
        <w:t xml:space="preserve">. </w:t>
      </w:r>
    </w:p>
    <w:p w14:paraId="125603E4" w14:textId="4C9AC4A8" w:rsidR="00596F93" w:rsidRDefault="00110B04" w:rsidP="00596F93">
      <w:pPr>
        <w:spacing w:line="276" w:lineRule="auto"/>
        <w:rPr>
          <w:rFonts w:ascii="Verdana" w:hAnsi="Verdana"/>
          <w:bCs/>
          <w:color w:val="262626" w:themeColor="text1" w:themeTint="D9"/>
          <w:sz w:val="20"/>
        </w:rPr>
      </w:pPr>
      <w:r>
        <w:rPr>
          <w:rFonts w:ascii="Verdana" w:hAnsi="Verdana"/>
          <w:bCs/>
          <w:color w:val="262626" w:themeColor="text1" w:themeTint="D9"/>
          <w:sz w:val="20"/>
        </w:rPr>
        <w:t>After this</w:t>
      </w:r>
      <w:r w:rsidR="00BF4C42">
        <w:rPr>
          <w:rFonts w:ascii="Verdana" w:hAnsi="Verdana"/>
          <w:bCs/>
          <w:color w:val="262626" w:themeColor="text1" w:themeTint="D9"/>
          <w:sz w:val="20"/>
        </w:rPr>
        <w:t xml:space="preserve"> initial proposal</w:t>
      </w:r>
      <w:r>
        <w:rPr>
          <w:rFonts w:ascii="Verdana" w:hAnsi="Verdana"/>
          <w:bCs/>
          <w:color w:val="262626" w:themeColor="text1" w:themeTint="D9"/>
          <w:sz w:val="20"/>
        </w:rPr>
        <w:t xml:space="preserve"> new (sales-weighted) data </w:t>
      </w:r>
      <w:proofErr w:type="gramStart"/>
      <w:r>
        <w:rPr>
          <w:rFonts w:ascii="Verdana" w:hAnsi="Verdana"/>
          <w:bCs/>
          <w:color w:val="262626" w:themeColor="text1" w:themeTint="D9"/>
          <w:sz w:val="20"/>
        </w:rPr>
        <w:t>was received</w:t>
      </w:r>
      <w:r w:rsidR="00BF4C42">
        <w:rPr>
          <w:rFonts w:ascii="Verdana" w:hAnsi="Verdana"/>
          <w:bCs/>
          <w:color w:val="262626" w:themeColor="text1" w:themeTint="D9"/>
          <w:sz w:val="20"/>
        </w:rPr>
        <w:t xml:space="preserve"> and analysed (see figures below)</w:t>
      </w:r>
      <w:r>
        <w:rPr>
          <w:rFonts w:ascii="Verdana" w:hAnsi="Verdana"/>
          <w:bCs/>
          <w:color w:val="262626" w:themeColor="text1" w:themeTint="D9"/>
          <w:sz w:val="20"/>
        </w:rPr>
        <w:t>,</w:t>
      </w:r>
      <w:proofErr w:type="gramEnd"/>
      <w:r>
        <w:rPr>
          <w:rFonts w:ascii="Verdana" w:hAnsi="Verdana"/>
          <w:bCs/>
          <w:color w:val="262626" w:themeColor="text1" w:themeTint="D9"/>
          <w:sz w:val="20"/>
        </w:rPr>
        <w:t xml:space="preserve"> which indicated that approximately 50 % of the sold appliances would not meet the </w:t>
      </w:r>
      <w:r w:rsidR="00BF4C42">
        <w:rPr>
          <w:rFonts w:ascii="Verdana" w:hAnsi="Verdana"/>
          <w:bCs/>
          <w:color w:val="262626" w:themeColor="text1" w:themeTint="D9"/>
          <w:sz w:val="20"/>
        </w:rPr>
        <w:t xml:space="preserve">proposed </w:t>
      </w:r>
      <w:r>
        <w:rPr>
          <w:rFonts w:ascii="Verdana" w:hAnsi="Verdana"/>
          <w:bCs/>
          <w:color w:val="262626" w:themeColor="text1" w:themeTint="D9"/>
          <w:sz w:val="20"/>
        </w:rPr>
        <w:t>freezing threshold. The proposal has therefore been adapted to a 2-</w:t>
      </w:r>
      <w:r w:rsidR="00AA24C0">
        <w:rPr>
          <w:rFonts w:ascii="Verdana" w:hAnsi="Verdana"/>
          <w:bCs/>
          <w:color w:val="262626" w:themeColor="text1" w:themeTint="D9"/>
          <w:sz w:val="20"/>
        </w:rPr>
        <w:t>T</w:t>
      </w:r>
      <w:r>
        <w:rPr>
          <w:rFonts w:ascii="Verdana" w:hAnsi="Verdana"/>
          <w:bCs/>
          <w:color w:val="262626" w:themeColor="text1" w:themeTint="D9"/>
          <w:sz w:val="20"/>
        </w:rPr>
        <w:t xml:space="preserve">ier approach, with more lenient freezing thresholds. In a first </w:t>
      </w:r>
      <w:r w:rsidR="00AA24C0">
        <w:rPr>
          <w:rFonts w:ascii="Verdana" w:hAnsi="Verdana"/>
          <w:bCs/>
          <w:color w:val="262626" w:themeColor="text1" w:themeTint="D9"/>
          <w:sz w:val="20"/>
        </w:rPr>
        <w:t>T</w:t>
      </w:r>
      <w:r>
        <w:rPr>
          <w:rFonts w:ascii="Verdana" w:hAnsi="Verdana"/>
          <w:bCs/>
          <w:color w:val="262626" w:themeColor="text1" w:themeTint="D9"/>
          <w:sz w:val="20"/>
        </w:rPr>
        <w:t>ier,</w:t>
      </w:r>
      <w:r w:rsidRPr="00110B04">
        <w:t xml:space="preserve"> </w:t>
      </w:r>
      <w:r>
        <w:rPr>
          <w:rFonts w:ascii="Verdana" w:hAnsi="Verdana"/>
          <w:bCs/>
          <w:color w:val="262626" w:themeColor="text1" w:themeTint="D9"/>
          <w:sz w:val="20"/>
        </w:rPr>
        <w:t>the m</w:t>
      </w:r>
      <w:r w:rsidRPr="00110B04">
        <w:rPr>
          <w:rFonts w:ascii="Verdana" w:hAnsi="Verdana"/>
          <w:bCs/>
          <w:color w:val="262626" w:themeColor="text1" w:themeTint="D9"/>
          <w:sz w:val="20"/>
        </w:rPr>
        <w:t>aximum energy consumption in kWh per kg of foodstuff per cycle</w:t>
      </w:r>
      <w:r>
        <w:rPr>
          <w:rFonts w:ascii="Verdana" w:hAnsi="Verdana"/>
          <w:bCs/>
          <w:color w:val="262626" w:themeColor="text1" w:themeTint="D9"/>
          <w:sz w:val="20"/>
        </w:rPr>
        <w:t xml:space="preserve"> is 0</w:t>
      </w:r>
      <w:r w:rsidR="00E450CF">
        <w:rPr>
          <w:rFonts w:ascii="Verdana" w:hAnsi="Verdana"/>
          <w:bCs/>
          <w:color w:val="262626" w:themeColor="text1" w:themeTint="D9"/>
          <w:sz w:val="20"/>
        </w:rPr>
        <w:t>.</w:t>
      </w:r>
      <w:r>
        <w:rPr>
          <w:rFonts w:ascii="Verdana" w:hAnsi="Verdana"/>
          <w:bCs/>
          <w:color w:val="262626" w:themeColor="text1" w:themeTint="D9"/>
          <w:sz w:val="20"/>
        </w:rPr>
        <w:t>120 and 0</w:t>
      </w:r>
      <w:r w:rsidR="00E450CF">
        <w:rPr>
          <w:rFonts w:ascii="Verdana" w:hAnsi="Verdana"/>
          <w:bCs/>
          <w:color w:val="262626" w:themeColor="text1" w:themeTint="D9"/>
          <w:sz w:val="20"/>
        </w:rPr>
        <w:t>.</w:t>
      </w:r>
      <w:r>
        <w:rPr>
          <w:rFonts w:ascii="Verdana" w:hAnsi="Verdana"/>
          <w:bCs/>
          <w:color w:val="262626" w:themeColor="text1" w:themeTint="D9"/>
          <w:sz w:val="20"/>
        </w:rPr>
        <w:t xml:space="preserve">60 for chilling and freezing respectively, and after two </w:t>
      </w:r>
      <w:proofErr w:type="gramStart"/>
      <w:r>
        <w:rPr>
          <w:rFonts w:ascii="Verdana" w:hAnsi="Verdana"/>
          <w:bCs/>
          <w:color w:val="262626" w:themeColor="text1" w:themeTint="D9"/>
          <w:sz w:val="20"/>
        </w:rPr>
        <w:t>years</w:t>
      </w:r>
      <w:proofErr w:type="gramEnd"/>
      <w:r>
        <w:rPr>
          <w:rFonts w:ascii="Verdana" w:hAnsi="Verdana"/>
          <w:bCs/>
          <w:color w:val="262626" w:themeColor="text1" w:themeTint="D9"/>
          <w:sz w:val="20"/>
        </w:rPr>
        <w:t xml:space="preserve"> the second </w:t>
      </w:r>
      <w:r w:rsidR="00AA24C0">
        <w:rPr>
          <w:rFonts w:ascii="Verdana" w:hAnsi="Verdana"/>
          <w:bCs/>
          <w:color w:val="262626" w:themeColor="text1" w:themeTint="D9"/>
          <w:sz w:val="20"/>
        </w:rPr>
        <w:t>T</w:t>
      </w:r>
      <w:r>
        <w:rPr>
          <w:rFonts w:ascii="Verdana" w:hAnsi="Verdana"/>
          <w:bCs/>
          <w:color w:val="262626" w:themeColor="text1" w:themeTint="D9"/>
          <w:sz w:val="20"/>
        </w:rPr>
        <w:t>ier introduces 0</w:t>
      </w:r>
      <w:r w:rsidR="00E450CF">
        <w:rPr>
          <w:rFonts w:ascii="Verdana" w:hAnsi="Verdana"/>
          <w:bCs/>
          <w:color w:val="262626" w:themeColor="text1" w:themeTint="D9"/>
          <w:sz w:val="20"/>
        </w:rPr>
        <w:t>.</w:t>
      </w:r>
      <w:r>
        <w:rPr>
          <w:rFonts w:ascii="Verdana" w:hAnsi="Verdana"/>
          <w:bCs/>
          <w:color w:val="262626" w:themeColor="text1" w:themeTint="D9"/>
          <w:sz w:val="20"/>
        </w:rPr>
        <w:t>095 and 0</w:t>
      </w:r>
      <w:r w:rsidR="00E450CF">
        <w:rPr>
          <w:rFonts w:ascii="Verdana" w:hAnsi="Verdana"/>
          <w:bCs/>
          <w:color w:val="262626" w:themeColor="text1" w:themeTint="D9"/>
          <w:sz w:val="20"/>
        </w:rPr>
        <w:t>.</w:t>
      </w:r>
      <w:r>
        <w:rPr>
          <w:rFonts w:ascii="Verdana" w:hAnsi="Verdana"/>
          <w:bCs/>
          <w:color w:val="262626" w:themeColor="text1" w:themeTint="D9"/>
          <w:sz w:val="20"/>
        </w:rPr>
        <w:t xml:space="preserve">40 for chilling and freezing respectively. </w:t>
      </w:r>
      <w:r w:rsidR="00BF4C42">
        <w:rPr>
          <w:rFonts w:ascii="Verdana" w:hAnsi="Verdana"/>
          <w:bCs/>
          <w:color w:val="262626" w:themeColor="text1" w:themeTint="D9"/>
          <w:sz w:val="20"/>
        </w:rPr>
        <w:t>This will result in approximately 40 % of appliances not meeting one or both thresholds</w:t>
      </w:r>
      <w:r w:rsidR="00596F93" w:rsidRPr="00C57D4B">
        <w:rPr>
          <w:rFonts w:ascii="Verdana" w:hAnsi="Verdana"/>
          <w:bCs/>
          <w:color w:val="262626" w:themeColor="text1" w:themeTint="D9"/>
          <w:sz w:val="20"/>
        </w:rPr>
        <w:t>.</w:t>
      </w:r>
    </w:p>
    <w:p w14:paraId="6624A266" w14:textId="77777777" w:rsidR="004E12D9" w:rsidRDefault="00BF4C42" w:rsidP="00CE3DEA">
      <w:pPr>
        <w:keepNext/>
        <w:spacing w:line="276" w:lineRule="auto"/>
        <w:jc w:val="center"/>
      </w:pPr>
      <w:r w:rsidRPr="00BF4C42">
        <w:rPr>
          <w:rFonts w:ascii="Verdana" w:hAnsi="Verdana"/>
          <w:b/>
          <w:noProof/>
          <w:color w:val="262626" w:themeColor="text1" w:themeTint="D9"/>
          <w:sz w:val="22"/>
          <w:szCs w:val="22"/>
          <w:lang w:val="fr-BE" w:eastAsia="fr-BE"/>
        </w:rPr>
        <w:lastRenderedPageBreak/>
        <w:drawing>
          <wp:inline distT="0" distB="0" distL="0" distR="0" wp14:anchorId="48362596" wp14:editId="26B70CE7">
            <wp:extent cx="4838400" cy="2736000"/>
            <wp:effectExtent l="0" t="0" r="635" b="7620"/>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pic:nvPicPr>
                  <pic:blipFill>
                    <a:blip r:embed="rId20"/>
                    <a:stretch>
                      <a:fillRect/>
                    </a:stretch>
                  </pic:blipFill>
                  <pic:spPr>
                    <a:xfrm>
                      <a:off x="0" y="0"/>
                      <a:ext cx="4838400" cy="2736000"/>
                    </a:xfrm>
                    <a:prstGeom prst="rect">
                      <a:avLst/>
                    </a:prstGeom>
                  </pic:spPr>
                </pic:pic>
              </a:graphicData>
            </a:graphic>
          </wp:inline>
        </w:drawing>
      </w:r>
    </w:p>
    <w:p w14:paraId="22459CE1" w14:textId="50A0A196" w:rsidR="00BF4C42" w:rsidRPr="00AA24C0" w:rsidRDefault="004E12D9" w:rsidP="00CE3DEA">
      <w:pPr>
        <w:pStyle w:val="Caption"/>
        <w:jc w:val="center"/>
        <w:rPr>
          <w:rFonts w:ascii="Verdana" w:hAnsi="Verdana"/>
          <w:b w:val="0"/>
          <w:i/>
          <w:iCs/>
          <w:color w:val="262626" w:themeColor="text1" w:themeTint="D9"/>
          <w:sz w:val="18"/>
          <w:szCs w:val="18"/>
        </w:rPr>
      </w:pPr>
      <w:r w:rsidRPr="00AA24C0">
        <w:rPr>
          <w:rFonts w:ascii="Verdana" w:hAnsi="Verdana"/>
          <w:i/>
          <w:iCs/>
          <w:sz w:val="18"/>
          <w:szCs w:val="18"/>
        </w:rPr>
        <w:t xml:space="preserve">Figure </w:t>
      </w:r>
      <w:r w:rsidR="00AA24C0" w:rsidRPr="00AA24C0">
        <w:rPr>
          <w:rFonts w:ascii="Verdana" w:hAnsi="Verdana"/>
          <w:i/>
          <w:iCs/>
          <w:sz w:val="18"/>
          <w:szCs w:val="18"/>
        </w:rPr>
        <w:t>9</w:t>
      </w:r>
      <w:r w:rsidRPr="00AA24C0">
        <w:rPr>
          <w:rFonts w:ascii="Verdana" w:hAnsi="Verdana"/>
          <w:i/>
          <w:iCs/>
          <w:sz w:val="18"/>
          <w:szCs w:val="18"/>
        </w:rPr>
        <w:t>: Chill cycle energy consumption kWh/cycle/kg as declared (sales weighted).</w:t>
      </w:r>
    </w:p>
    <w:p w14:paraId="07F729FE" w14:textId="77777777" w:rsidR="004E12D9" w:rsidRDefault="00BF4C42" w:rsidP="00CE3DEA">
      <w:pPr>
        <w:keepNext/>
        <w:spacing w:line="276" w:lineRule="auto"/>
        <w:jc w:val="center"/>
      </w:pPr>
      <w:r w:rsidRPr="00BF4C42">
        <w:rPr>
          <w:rFonts w:ascii="Verdana" w:hAnsi="Verdana"/>
          <w:b/>
          <w:noProof/>
          <w:color w:val="262626" w:themeColor="text1" w:themeTint="D9"/>
          <w:sz w:val="22"/>
          <w:szCs w:val="22"/>
          <w:lang w:val="fr-BE" w:eastAsia="fr-BE"/>
        </w:rPr>
        <w:drawing>
          <wp:inline distT="0" distB="0" distL="0" distR="0" wp14:anchorId="6B386F37" wp14:editId="7C5CF38E">
            <wp:extent cx="4802400" cy="2736000"/>
            <wp:effectExtent l="0" t="0" r="0" b="762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21"/>
                    <a:stretch>
                      <a:fillRect/>
                    </a:stretch>
                  </pic:blipFill>
                  <pic:spPr>
                    <a:xfrm>
                      <a:off x="0" y="0"/>
                      <a:ext cx="4802400" cy="2736000"/>
                    </a:xfrm>
                    <a:prstGeom prst="rect">
                      <a:avLst/>
                    </a:prstGeom>
                  </pic:spPr>
                </pic:pic>
              </a:graphicData>
            </a:graphic>
          </wp:inline>
        </w:drawing>
      </w:r>
    </w:p>
    <w:p w14:paraId="5EB8C914" w14:textId="3B67DE0F" w:rsidR="004E12D9" w:rsidRPr="00AA24C0" w:rsidRDefault="004E12D9" w:rsidP="004E12D9">
      <w:pPr>
        <w:pStyle w:val="Caption"/>
        <w:jc w:val="center"/>
        <w:rPr>
          <w:rFonts w:ascii="Verdana" w:hAnsi="Verdana"/>
          <w:i/>
          <w:iCs/>
          <w:sz w:val="18"/>
          <w:szCs w:val="18"/>
        </w:rPr>
      </w:pPr>
      <w:r w:rsidRPr="00AA24C0">
        <w:rPr>
          <w:rFonts w:ascii="Verdana" w:hAnsi="Verdana"/>
          <w:i/>
          <w:iCs/>
          <w:sz w:val="18"/>
          <w:szCs w:val="18"/>
        </w:rPr>
        <w:t xml:space="preserve">Figure </w:t>
      </w:r>
      <w:r w:rsidR="00AA24C0" w:rsidRPr="00AA24C0">
        <w:rPr>
          <w:rFonts w:ascii="Verdana" w:hAnsi="Verdana"/>
          <w:i/>
          <w:iCs/>
          <w:sz w:val="18"/>
          <w:szCs w:val="18"/>
        </w:rPr>
        <w:t>10</w:t>
      </w:r>
      <w:r w:rsidRPr="00AA24C0">
        <w:rPr>
          <w:rFonts w:ascii="Verdana" w:hAnsi="Verdana"/>
          <w:i/>
          <w:iCs/>
          <w:sz w:val="18"/>
          <w:szCs w:val="18"/>
        </w:rPr>
        <w:t xml:space="preserve">: </w:t>
      </w:r>
      <w:proofErr w:type="gramStart"/>
      <w:r w:rsidRPr="00AA24C0">
        <w:rPr>
          <w:rFonts w:ascii="Verdana" w:hAnsi="Verdana"/>
          <w:i/>
          <w:iCs/>
          <w:sz w:val="18"/>
          <w:szCs w:val="18"/>
        </w:rPr>
        <w:t>Freeze cycle energy consumption kWh/cycle/kg</w:t>
      </w:r>
      <w:proofErr w:type="gramEnd"/>
      <w:r w:rsidRPr="00AA24C0">
        <w:rPr>
          <w:rFonts w:ascii="Verdana" w:hAnsi="Verdana"/>
          <w:i/>
          <w:iCs/>
          <w:sz w:val="18"/>
          <w:szCs w:val="18"/>
        </w:rPr>
        <w:t xml:space="preserve"> as declared (sales weighted).</w:t>
      </w:r>
    </w:p>
    <w:p w14:paraId="7F176530" w14:textId="77777777" w:rsidR="00D72069" w:rsidRDefault="00D72069" w:rsidP="00D72069">
      <w:pPr>
        <w:spacing w:line="276" w:lineRule="auto"/>
        <w:rPr>
          <w:rFonts w:ascii="Verdana" w:hAnsi="Verdana"/>
          <w:iCs/>
          <w:color w:val="262626" w:themeColor="text1" w:themeTint="D9"/>
          <w:sz w:val="20"/>
        </w:rPr>
      </w:pPr>
    </w:p>
    <w:p w14:paraId="1C303861" w14:textId="157686A0" w:rsidR="004E12D9" w:rsidRPr="00CE3DEA" w:rsidRDefault="004E12D9" w:rsidP="00CE3DEA">
      <w:pPr>
        <w:spacing w:line="276" w:lineRule="auto"/>
        <w:rPr>
          <w:rFonts w:ascii="Verdana" w:hAnsi="Verdana"/>
          <w:color w:val="262626" w:themeColor="text1" w:themeTint="D9"/>
          <w:sz w:val="20"/>
        </w:rPr>
      </w:pPr>
      <w:r w:rsidRPr="00C57D4B">
        <w:rPr>
          <w:rFonts w:ascii="Verdana" w:hAnsi="Verdana"/>
          <w:iCs/>
          <w:color w:val="262626" w:themeColor="text1" w:themeTint="D9"/>
          <w:sz w:val="20"/>
        </w:rPr>
        <w:t>As regards the questions from Phase 1.1</w:t>
      </w:r>
      <w:r>
        <w:rPr>
          <w:rFonts w:ascii="Verdana" w:hAnsi="Verdana"/>
          <w:iCs/>
          <w:color w:val="262626" w:themeColor="text1" w:themeTint="D9"/>
          <w:sz w:val="20"/>
        </w:rPr>
        <w:t>,</w:t>
      </w:r>
      <w:r w:rsidRPr="004E12D9">
        <w:rPr>
          <w:rFonts w:ascii="Verdana" w:hAnsi="Verdana"/>
          <w:color w:val="262626" w:themeColor="text1" w:themeTint="D9"/>
          <w:sz w:val="20"/>
        </w:rPr>
        <w:t xml:space="preserve"> </w:t>
      </w:r>
      <w:r>
        <w:rPr>
          <w:rFonts w:ascii="Verdana" w:hAnsi="Verdana"/>
          <w:color w:val="262626" w:themeColor="text1" w:themeTint="D9"/>
          <w:sz w:val="20"/>
        </w:rPr>
        <w:t xml:space="preserve">it </w:t>
      </w:r>
      <w:proofErr w:type="gramStart"/>
      <w:r>
        <w:rPr>
          <w:rFonts w:ascii="Verdana" w:hAnsi="Verdana"/>
          <w:color w:val="262626" w:themeColor="text1" w:themeTint="D9"/>
          <w:sz w:val="20"/>
        </w:rPr>
        <w:t>is concluded</w:t>
      </w:r>
      <w:proofErr w:type="gramEnd"/>
      <w:r>
        <w:rPr>
          <w:rFonts w:ascii="Verdana" w:hAnsi="Verdana"/>
          <w:color w:val="262626" w:themeColor="text1" w:themeTint="D9"/>
          <w:sz w:val="20"/>
        </w:rPr>
        <w:t xml:space="preserve"> that </w:t>
      </w:r>
      <w:r w:rsidRPr="00CE0492">
        <w:rPr>
          <w:rFonts w:ascii="Verdana" w:hAnsi="Verdana"/>
          <w:color w:val="262626" w:themeColor="text1" w:themeTint="D9"/>
          <w:sz w:val="20"/>
        </w:rPr>
        <w:t xml:space="preserve">blast cabinets with a remote condensing unit </w:t>
      </w:r>
      <w:r w:rsidR="00D72069">
        <w:rPr>
          <w:rFonts w:ascii="Verdana" w:hAnsi="Verdana"/>
          <w:color w:val="262626" w:themeColor="text1" w:themeTint="D9"/>
          <w:sz w:val="20"/>
        </w:rPr>
        <w:t>are not part of</w:t>
      </w:r>
      <w:r w:rsidRPr="00CE0492">
        <w:rPr>
          <w:rFonts w:ascii="Verdana" w:hAnsi="Verdana"/>
          <w:color w:val="262626" w:themeColor="text1" w:themeTint="D9"/>
          <w:sz w:val="20"/>
        </w:rPr>
        <w:t xml:space="preserve"> the scope</w:t>
      </w:r>
      <w:r>
        <w:rPr>
          <w:rFonts w:ascii="Verdana" w:hAnsi="Verdana"/>
          <w:color w:val="262626" w:themeColor="text1" w:themeTint="D9"/>
          <w:sz w:val="20"/>
        </w:rPr>
        <w:t>, and there is no</w:t>
      </w:r>
      <w:r w:rsidRPr="00CE3DEA">
        <w:rPr>
          <w:rFonts w:ascii="Verdana" w:hAnsi="Verdana"/>
          <w:color w:val="262626" w:themeColor="text1" w:themeTint="D9"/>
          <w:sz w:val="20"/>
        </w:rPr>
        <w:t xml:space="preserve"> measurement/testing method available for the energy performance of such products.</w:t>
      </w:r>
    </w:p>
    <w:p w14:paraId="3A07BA86" w14:textId="0BA37BEF" w:rsidR="0025325F" w:rsidRPr="0025325F" w:rsidRDefault="00396092" w:rsidP="00CE3DEA">
      <w:pPr>
        <w:pStyle w:val="Heading2"/>
        <w:tabs>
          <w:tab w:val="clear" w:pos="1712"/>
        </w:tabs>
      </w:pPr>
      <w:r>
        <w:t>S</w:t>
      </w:r>
      <w:r w:rsidR="0025325F">
        <w:t xml:space="preserve">cientific and healthcare </w:t>
      </w:r>
      <w:r>
        <w:t xml:space="preserve">refrigerated storage </w:t>
      </w:r>
      <w:r w:rsidR="0025325F">
        <w:t>cabinets</w:t>
      </w:r>
    </w:p>
    <w:p w14:paraId="39F1D5A2" w14:textId="7FC3D03A" w:rsidR="00C13FFF" w:rsidRPr="00925199" w:rsidRDefault="00C13FFF" w:rsidP="00CE3DEA">
      <w:pPr>
        <w:pStyle w:val="Body"/>
        <w:spacing w:line="276" w:lineRule="auto"/>
        <w:jc w:val="both"/>
        <w:rPr>
          <w:color w:val="262626" w:themeColor="text1" w:themeTint="D9"/>
          <w:sz w:val="20"/>
        </w:rPr>
      </w:pPr>
      <w:r w:rsidRPr="00925199">
        <w:rPr>
          <w:color w:val="262626" w:themeColor="text1" w:themeTint="D9"/>
          <w:sz w:val="20"/>
        </w:rPr>
        <w:t xml:space="preserve">The </w:t>
      </w:r>
      <w:r>
        <w:rPr>
          <w:color w:val="262626" w:themeColor="text1" w:themeTint="D9"/>
          <w:sz w:val="20"/>
        </w:rPr>
        <w:t xml:space="preserve">proposed </w:t>
      </w:r>
      <w:r w:rsidRPr="00925199">
        <w:rPr>
          <w:color w:val="262626" w:themeColor="text1" w:themeTint="D9"/>
          <w:sz w:val="20"/>
        </w:rPr>
        <w:t xml:space="preserve">sub-categories of scientific </w:t>
      </w:r>
      <w:r>
        <w:rPr>
          <w:color w:val="262626" w:themeColor="text1" w:themeTint="D9"/>
          <w:sz w:val="20"/>
        </w:rPr>
        <w:t>and</w:t>
      </w:r>
      <w:r w:rsidRPr="00925199">
        <w:rPr>
          <w:color w:val="262626" w:themeColor="text1" w:themeTint="D9"/>
          <w:sz w:val="20"/>
        </w:rPr>
        <w:t xml:space="preserve"> healthcare refrigerated </w:t>
      </w:r>
      <w:r w:rsidR="00396092">
        <w:rPr>
          <w:color w:val="262626" w:themeColor="text1" w:themeTint="D9"/>
          <w:sz w:val="20"/>
        </w:rPr>
        <w:t xml:space="preserve">storage </w:t>
      </w:r>
      <w:r w:rsidRPr="00925199">
        <w:rPr>
          <w:color w:val="262626" w:themeColor="text1" w:themeTint="D9"/>
          <w:sz w:val="20"/>
        </w:rPr>
        <w:t>cabinets are:</w:t>
      </w:r>
    </w:p>
    <w:p w14:paraId="0D9D67B2" w14:textId="1D19856D" w:rsidR="00C13FFF" w:rsidRPr="00925199" w:rsidRDefault="00C13FFF" w:rsidP="00AA24C0">
      <w:pPr>
        <w:pStyle w:val="Body"/>
        <w:numPr>
          <w:ilvl w:val="0"/>
          <w:numId w:val="57"/>
        </w:numPr>
        <w:spacing w:after="120" w:line="276" w:lineRule="auto"/>
        <w:ind w:left="714" w:hanging="357"/>
        <w:jc w:val="both"/>
        <w:rPr>
          <w:color w:val="262626" w:themeColor="text1" w:themeTint="D9"/>
          <w:sz w:val="20"/>
        </w:rPr>
      </w:pPr>
      <w:r w:rsidRPr="00925199">
        <w:rPr>
          <w:color w:val="262626" w:themeColor="text1" w:themeTint="D9"/>
          <w:sz w:val="20"/>
        </w:rPr>
        <w:t>Scientific and healthcare refrigerators (storage temperature range -2</w:t>
      </w:r>
      <w:r>
        <w:rPr>
          <w:color w:val="262626" w:themeColor="text1" w:themeTint="D9"/>
          <w:sz w:val="20"/>
        </w:rPr>
        <w:t xml:space="preserve"> </w:t>
      </w:r>
      <w:r w:rsidRPr="00925199">
        <w:rPr>
          <w:color w:val="262626" w:themeColor="text1" w:themeTint="D9"/>
          <w:sz w:val="20"/>
        </w:rPr>
        <w:t>ºC to +20</w:t>
      </w:r>
      <w:r>
        <w:rPr>
          <w:color w:val="262626" w:themeColor="text1" w:themeTint="D9"/>
          <w:sz w:val="20"/>
        </w:rPr>
        <w:t xml:space="preserve"> </w:t>
      </w:r>
      <w:r w:rsidRPr="00925199">
        <w:rPr>
          <w:color w:val="262626" w:themeColor="text1" w:themeTint="D9"/>
          <w:sz w:val="20"/>
        </w:rPr>
        <w:t>ºC) including drug refrigerators for pharmacies and medical facilities (storage temperature range +2</w:t>
      </w:r>
      <w:r>
        <w:rPr>
          <w:color w:val="262626" w:themeColor="text1" w:themeTint="D9"/>
          <w:sz w:val="20"/>
        </w:rPr>
        <w:t xml:space="preserve"> </w:t>
      </w:r>
      <w:r w:rsidRPr="00925199">
        <w:rPr>
          <w:color w:val="262626" w:themeColor="text1" w:themeTint="D9"/>
          <w:sz w:val="20"/>
        </w:rPr>
        <w:t>ºC to +8</w:t>
      </w:r>
      <w:r>
        <w:rPr>
          <w:color w:val="262626" w:themeColor="text1" w:themeTint="D9"/>
          <w:sz w:val="20"/>
        </w:rPr>
        <w:t xml:space="preserve"> </w:t>
      </w:r>
      <w:r w:rsidRPr="00925199">
        <w:rPr>
          <w:color w:val="262626" w:themeColor="text1" w:themeTint="D9"/>
          <w:sz w:val="20"/>
        </w:rPr>
        <w:t>ºC).</w:t>
      </w:r>
    </w:p>
    <w:p w14:paraId="6A9FC1D9" w14:textId="70EB0E69" w:rsidR="00C13FFF" w:rsidRPr="00925199" w:rsidRDefault="00C13FFF" w:rsidP="00AA24C0">
      <w:pPr>
        <w:pStyle w:val="Body"/>
        <w:numPr>
          <w:ilvl w:val="0"/>
          <w:numId w:val="57"/>
        </w:numPr>
        <w:spacing w:after="120" w:line="276" w:lineRule="auto"/>
        <w:ind w:left="714" w:hanging="357"/>
        <w:jc w:val="both"/>
        <w:rPr>
          <w:color w:val="262626" w:themeColor="text1" w:themeTint="D9"/>
          <w:sz w:val="20"/>
        </w:rPr>
      </w:pPr>
      <w:r w:rsidRPr="00925199">
        <w:rPr>
          <w:color w:val="262626" w:themeColor="text1" w:themeTint="D9"/>
          <w:sz w:val="20"/>
        </w:rPr>
        <w:t>Scientific and healthcare freezers (storage temperature range -60</w:t>
      </w:r>
      <w:r>
        <w:rPr>
          <w:color w:val="262626" w:themeColor="text1" w:themeTint="D9"/>
          <w:sz w:val="20"/>
        </w:rPr>
        <w:t xml:space="preserve"> </w:t>
      </w:r>
      <w:r w:rsidRPr="00925199">
        <w:rPr>
          <w:color w:val="262626" w:themeColor="text1" w:themeTint="D9"/>
          <w:sz w:val="20"/>
        </w:rPr>
        <w:t>ºC to -3</w:t>
      </w:r>
      <w:r>
        <w:rPr>
          <w:color w:val="262626" w:themeColor="text1" w:themeTint="D9"/>
          <w:sz w:val="20"/>
        </w:rPr>
        <w:t xml:space="preserve"> </w:t>
      </w:r>
      <w:r w:rsidRPr="00925199">
        <w:rPr>
          <w:color w:val="262626" w:themeColor="text1" w:themeTint="D9"/>
          <w:sz w:val="20"/>
        </w:rPr>
        <w:t>ºC)</w:t>
      </w:r>
      <w:r w:rsidR="00396092">
        <w:rPr>
          <w:color w:val="262626" w:themeColor="text1" w:themeTint="D9"/>
          <w:sz w:val="20"/>
        </w:rPr>
        <w:t>.</w:t>
      </w:r>
    </w:p>
    <w:p w14:paraId="0DDC85CA" w14:textId="07F8F302" w:rsidR="00C13FFF" w:rsidRPr="00925199" w:rsidRDefault="00C13FFF" w:rsidP="00AA24C0">
      <w:pPr>
        <w:pStyle w:val="Body"/>
        <w:numPr>
          <w:ilvl w:val="0"/>
          <w:numId w:val="57"/>
        </w:numPr>
        <w:spacing w:after="120" w:line="276" w:lineRule="auto"/>
        <w:ind w:left="714" w:hanging="357"/>
        <w:jc w:val="both"/>
        <w:rPr>
          <w:color w:val="262626" w:themeColor="text1" w:themeTint="D9"/>
          <w:sz w:val="20"/>
        </w:rPr>
      </w:pPr>
      <w:r w:rsidRPr="00925199">
        <w:rPr>
          <w:color w:val="262626" w:themeColor="text1" w:themeTint="D9"/>
          <w:sz w:val="20"/>
        </w:rPr>
        <w:t>Ultra-low temperature (ULT) freezers (storage temperature range -90</w:t>
      </w:r>
      <w:r>
        <w:rPr>
          <w:color w:val="262626" w:themeColor="text1" w:themeTint="D9"/>
          <w:sz w:val="20"/>
        </w:rPr>
        <w:t xml:space="preserve"> </w:t>
      </w:r>
      <w:r w:rsidRPr="00925199">
        <w:rPr>
          <w:color w:val="262626" w:themeColor="text1" w:themeTint="D9"/>
          <w:sz w:val="20"/>
        </w:rPr>
        <w:t>ºC to -40</w:t>
      </w:r>
      <w:r>
        <w:rPr>
          <w:color w:val="262626" w:themeColor="text1" w:themeTint="D9"/>
          <w:sz w:val="20"/>
        </w:rPr>
        <w:t xml:space="preserve"> </w:t>
      </w:r>
      <w:r w:rsidRPr="00925199">
        <w:rPr>
          <w:color w:val="262626" w:themeColor="text1" w:themeTint="D9"/>
          <w:sz w:val="20"/>
        </w:rPr>
        <w:t>ºC)</w:t>
      </w:r>
      <w:r w:rsidR="00396092">
        <w:rPr>
          <w:color w:val="262626" w:themeColor="text1" w:themeTint="D9"/>
          <w:sz w:val="20"/>
        </w:rPr>
        <w:t>.</w:t>
      </w:r>
    </w:p>
    <w:p w14:paraId="600555B2" w14:textId="33D9A5C6" w:rsidR="00C13FFF" w:rsidRDefault="00C13FFF" w:rsidP="00AA24C0">
      <w:pPr>
        <w:pStyle w:val="Body"/>
        <w:numPr>
          <w:ilvl w:val="0"/>
          <w:numId w:val="57"/>
        </w:numPr>
        <w:spacing w:after="120" w:line="276" w:lineRule="auto"/>
        <w:ind w:left="714" w:hanging="357"/>
        <w:jc w:val="both"/>
        <w:rPr>
          <w:color w:val="262626" w:themeColor="text1" w:themeTint="D9"/>
          <w:sz w:val="20"/>
        </w:rPr>
      </w:pPr>
      <w:r w:rsidRPr="002943A7">
        <w:rPr>
          <w:color w:val="262626" w:themeColor="text1" w:themeTint="D9"/>
          <w:sz w:val="20"/>
        </w:rPr>
        <w:lastRenderedPageBreak/>
        <w:t>Refrigerators for storage of blood (+</w:t>
      </w:r>
      <w:proofErr w:type="gramStart"/>
      <w:r w:rsidRPr="002943A7">
        <w:rPr>
          <w:color w:val="262626" w:themeColor="text1" w:themeTint="D9"/>
          <w:sz w:val="20"/>
        </w:rPr>
        <w:t>2</w:t>
      </w:r>
      <w:proofErr w:type="gramEnd"/>
      <w:r>
        <w:rPr>
          <w:color w:val="262626" w:themeColor="text1" w:themeTint="D9"/>
          <w:sz w:val="20"/>
        </w:rPr>
        <w:t xml:space="preserve"> </w:t>
      </w:r>
      <w:r w:rsidRPr="002943A7">
        <w:rPr>
          <w:color w:val="262626" w:themeColor="text1" w:themeTint="D9"/>
          <w:sz w:val="20"/>
        </w:rPr>
        <w:t>ºC to +6</w:t>
      </w:r>
      <w:r>
        <w:rPr>
          <w:color w:val="262626" w:themeColor="text1" w:themeTint="D9"/>
          <w:sz w:val="20"/>
        </w:rPr>
        <w:t xml:space="preserve"> </w:t>
      </w:r>
      <w:r w:rsidRPr="002943A7">
        <w:rPr>
          <w:color w:val="262626" w:themeColor="text1" w:themeTint="D9"/>
          <w:sz w:val="20"/>
        </w:rPr>
        <w:t>ºC)</w:t>
      </w:r>
      <w:r w:rsidR="00396092">
        <w:rPr>
          <w:color w:val="262626" w:themeColor="text1" w:themeTint="D9"/>
          <w:sz w:val="20"/>
        </w:rPr>
        <w:t>.</w:t>
      </w:r>
    </w:p>
    <w:p w14:paraId="47B57A29" w14:textId="0583E773" w:rsidR="00C13FFF" w:rsidRDefault="00C13FFF" w:rsidP="00C13FFF">
      <w:pPr>
        <w:pStyle w:val="Body"/>
        <w:numPr>
          <w:ilvl w:val="0"/>
          <w:numId w:val="57"/>
        </w:numPr>
        <w:spacing w:line="276" w:lineRule="auto"/>
        <w:jc w:val="both"/>
        <w:rPr>
          <w:color w:val="262626" w:themeColor="text1" w:themeTint="D9"/>
          <w:sz w:val="20"/>
        </w:rPr>
      </w:pPr>
      <w:r w:rsidRPr="002943A7">
        <w:rPr>
          <w:color w:val="262626" w:themeColor="text1" w:themeTint="D9"/>
          <w:sz w:val="20"/>
        </w:rPr>
        <w:t>Freezers for storage of plasma (&lt;-27</w:t>
      </w:r>
      <w:r>
        <w:rPr>
          <w:color w:val="262626" w:themeColor="text1" w:themeTint="D9"/>
          <w:sz w:val="20"/>
        </w:rPr>
        <w:t xml:space="preserve"> </w:t>
      </w:r>
      <w:r w:rsidRPr="002943A7">
        <w:rPr>
          <w:color w:val="262626" w:themeColor="text1" w:themeTint="D9"/>
          <w:sz w:val="20"/>
        </w:rPr>
        <w:t>ºC)</w:t>
      </w:r>
      <w:r w:rsidR="00396092">
        <w:rPr>
          <w:color w:val="262626" w:themeColor="text1" w:themeTint="D9"/>
          <w:sz w:val="20"/>
        </w:rPr>
        <w:t>.</w:t>
      </w:r>
    </w:p>
    <w:p w14:paraId="181C5156" w14:textId="77777777" w:rsidR="00C13FFF" w:rsidRDefault="00C13FFF" w:rsidP="00CE3DEA">
      <w:pPr>
        <w:pStyle w:val="Body"/>
        <w:spacing w:line="276" w:lineRule="auto"/>
        <w:jc w:val="both"/>
        <w:rPr>
          <w:color w:val="262626" w:themeColor="text1" w:themeTint="D9"/>
          <w:sz w:val="20"/>
        </w:rPr>
      </w:pPr>
      <w:r w:rsidRPr="005D44F3">
        <w:rPr>
          <w:color w:val="262626" w:themeColor="text1" w:themeTint="D9"/>
          <w:sz w:val="20"/>
        </w:rPr>
        <w:t>These are used for storage of items including chemicals and reagents, vaccines, drugs, medical, blood and tissue samples with cabinet prices ranging from €2</w:t>
      </w:r>
      <w:r w:rsidRPr="005D44F3">
        <w:rPr>
          <w:rFonts w:ascii="Arial" w:hAnsi="Arial" w:cs="Arial"/>
          <w:color w:val="262626" w:themeColor="text1" w:themeTint="D9"/>
          <w:sz w:val="20"/>
        </w:rPr>
        <w:t> </w:t>
      </w:r>
      <w:r w:rsidRPr="005D44F3">
        <w:rPr>
          <w:color w:val="262626" w:themeColor="text1" w:themeTint="D9"/>
          <w:sz w:val="20"/>
        </w:rPr>
        <w:t>500 to €10</w:t>
      </w:r>
      <w:r w:rsidRPr="005D44F3">
        <w:rPr>
          <w:rFonts w:ascii="Arial" w:hAnsi="Arial" w:cs="Arial"/>
          <w:color w:val="262626" w:themeColor="text1" w:themeTint="D9"/>
          <w:sz w:val="20"/>
        </w:rPr>
        <w:t> </w:t>
      </w:r>
      <w:r w:rsidRPr="005D44F3">
        <w:rPr>
          <w:color w:val="262626" w:themeColor="text1" w:themeTint="D9"/>
          <w:sz w:val="20"/>
        </w:rPr>
        <w:t xml:space="preserve">000 a piece. </w:t>
      </w:r>
    </w:p>
    <w:p w14:paraId="11690CF0" w14:textId="77777777" w:rsidR="00C13FFF" w:rsidRPr="005D44F3" w:rsidRDefault="00C13FFF" w:rsidP="00CE3DEA">
      <w:pPr>
        <w:pStyle w:val="Body"/>
        <w:spacing w:line="276" w:lineRule="auto"/>
        <w:jc w:val="both"/>
        <w:rPr>
          <w:color w:val="262626" w:themeColor="text1" w:themeTint="D9"/>
          <w:sz w:val="20"/>
        </w:rPr>
      </w:pPr>
      <w:r>
        <w:rPr>
          <w:color w:val="262626" w:themeColor="text1" w:themeTint="D9"/>
          <w:sz w:val="20"/>
        </w:rPr>
        <w:t xml:space="preserve">Note: </w:t>
      </w:r>
      <w:r w:rsidRPr="005D44F3">
        <w:rPr>
          <w:color w:val="262626" w:themeColor="text1" w:themeTint="D9"/>
          <w:sz w:val="20"/>
        </w:rPr>
        <w:t xml:space="preserve">Cryogenic freezers (storage temperature range -155 ºC to -125 ºC) </w:t>
      </w:r>
      <w:proofErr w:type="gramStart"/>
      <w:r w:rsidRPr="005D44F3">
        <w:rPr>
          <w:color w:val="262626" w:themeColor="text1" w:themeTint="D9"/>
          <w:sz w:val="20"/>
        </w:rPr>
        <w:t>are not proposed</w:t>
      </w:r>
      <w:proofErr w:type="gramEnd"/>
      <w:r w:rsidRPr="005D44F3">
        <w:rPr>
          <w:color w:val="262626" w:themeColor="text1" w:themeTint="D9"/>
          <w:sz w:val="20"/>
        </w:rPr>
        <w:t xml:space="preserve"> for further consideration as they are highly specialised technologies sold in relatively small numbers.</w:t>
      </w:r>
    </w:p>
    <w:p w14:paraId="06220B9D" w14:textId="067C6305" w:rsidR="00C13FFF" w:rsidRDefault="00C13FFF" w:rsidP="00C13FFF">
      <w:pPr>
        <w:pStyle w:val="Body"/>
        <w:spacing w:line="276" w:lineRule="auto"/>
        <w:jc w:val="both"/>
        <w:rPr>
          <w:color w:val="262626" w:themeColor="text1" w:themeTint="D9"/>
          <w:sz w:val="20"/>
        </w:rPr>
      </w:pPr>
      <w:r w:rsidRPr="00143F4E">
        <w:rPr>
          <w:color w:val="262626" w:themeColor="text1" w:themeTint="D9"/>
          <w:sz w:val="20"/>
        </w:rPr>
        <w:t>Assuming the EU to make up around 20</w:t>
      </w:r>
      <w:r>
        <w:rPr>
          <w:color w:val="262626" w:themeColor="text1" w:themeTint="D9"/>
          <w:sz w:val="20"/>
        </w:rPr>
        <w:t xml:space="preserve"> </w:t>
      </w:r>
      <w:r w:rsidRPr="00143F4E">
        <w:rPr>
          <w:color w:val="262626" w:themeColor="text1" w:themeTint="D9"/>
          <w:sz w:val="20"/>
        </w:rPr>
        <w:t>% of the global market</w:t>
      </w:r>
      <w:r>
        <w:rPr>
          <w:color w:val="262626" w:themeColor="text1" w:themeTint="D9"/>
          <w:sz w:val="20"/>
        </w:rPr>
        <w:t xml:space="preserve"> for science and healthcare</w:t>
      </w:r>
      <w:r>
        <w:rPr>
          <w:rStyle w:val="FootnoteReference"/>
          <w:color w:val="262626" w:themeColor="text1" w:themeTint="D9"/>
        </w:rPr>
        <w:footnoteReference w:id="42"/>
      </w:r>
      <w:r w:rsidRPr="00143F4E">
        <w:rPr>
          <w:color w:val="262626" w:themeColor="text1" w:themeTint="D9"/>
          <w:sz w:val="20"/>
        </w:rPr>
        <w:t xml:space="preserve">, the sales </w:t>
      </w:r>
      <w:r>
        <w:rPr>
          <w:color w:val="262626" w:themeColor="text1" w:themeTint="D9"/>
          <w:sz w:val="20"/>
        </w:rPr>
        <w:t xml:space="preserve">of laboratory refrigerators and freezers </w:t>
      </w:r>
      <w:r w:rsidRPr="00143F4E">
        <w:rPr>
          <w:color w:val="262626" w:themeColor="text1" w:themeTint="D9"/>
          <w:sz w:val="20"/>
        </w:rPr>
        <w:t>can be estimated at around 150</w:t>
      </w:r>
      <w:r>
        <w:rPr>
          <w:color w:val="262626" w:themeColor="text1" w:themeTint="D9"/>
          <w:sz w:val="20"/>
        </w:rPr>
        <w:t> 000</w:t>
      </w:r>
      <w:r w:rsidRPr="00143F4E">
        <w:rPr>
          <w:color w:val="262626" w:themeColor="text1" w:themeTint="D9"/>
          <w:sz w:val="20"/>
        </w:rPr>
        <w:t xml:space="preserve"> units and the stock is 0.2 </w:t>
      </w:r>
      <w:r>
        <w:rPr>
          <w:color w:val="262626" w:themeColor="text1" w:themeTint="D9"/>
          <w:sz w:val="20"/>
        </w:rPr>
        <w:t>million</w:t>
      </w:r>
      <w:r w:rsidRPr="00143F4E">
        <w:rPr>
          <w:color w:val="262626" w:themeColor="text1" w:themeTint="D9"/>
          <w:sz w:val="20"/>
        </w:rPr>
        <w:t xml:space="preserve"> Ultra Low Temperature (ULT) units and 1 </w:t>
      </w:r>
      <w:r>
        <w:rPr>
          <w:color w:val="262626" w:themeColor="text1" w:themeTint="D9"/>
          <w:sz w:val="20"/>
        </w:rPr>
        <w:t>million</w:t>
      </w:r>
      <w:r w:rsidRPr="00143F4E">
        <w:rPr>
          <w:color w:val="262626" w:themeColor="text1" w:themeTint="D9"/>
          <w:sz w:val="20"/>
        </w:rPr>
        <w:t xml:space="preserve"> laboratory grade units. Electricity use is estimated at around 3 TWh/a</w:t>
      </w:r>
      <w:r>
        <w:rPr>
          <w:color w:val="262626" w:themeColor="text1" w:themeTint="D9"/>
          <w:sz w:val="20"/>
        </w:rPr>
        <w:t xml:space="preserve"> for the laboratory/scientific sector alone; an estimate for healthcare delivery (hospitals, pharmacies, doctor surgeries) is yet to be made but could be higher than that for scientific</w:t>
      </w:r>
      <w:r w:rsidRPr="00143F4E">
        <w:rPr>
          <w:color w:val="262626" w:themeColor="text1" w:themeTint="D9"/>
          <w:sz w:val="20"/>
        </w:rPr>
        <w:t xml:space="preserve">. </w:t>
      </w:r>
    </w:p>
    <w:p w14:paraId="632430E4" w14:textId="4F1A1EFE" w:rsidR="00C13FFF" w:rsidRDefault="00C13FFF" w:rsidP="00C13FFF">
      <w:pPr>
        <w:pStyle w:val="Body"/>
        <w:spacing w:line="276" w:lineRule="auto"/>
        <w:jc w:val="both"/>
        <w:rPr>
          <w:color w:val="262626" w:themeColor="text1" w:themeTint="D9"/>
          <w:sz w:val="20"/>
        </w:rPr>
      </w:pPr>
      <w:r>
        <w:rPr>
          <w:color w:val="262626" w:themeColor="text1" w:themeTint="D9"/>
          <w:sz w:val="20"/>
        </w:rPr>
        <w:t xml:space="preserve">The sector is growing at rates an order of magnitude higher than parallel appliance groups (also some others are contracting), </w:t>
      </w:r>
      <w:proofErr w:type="gramStart"/>
      <w:r>
        <w:rPr>
          <w:color w:val="262626" w:themeColor="text1" w:themeTint="D9"/>
          <w:sz w:val="20"/>
        </w:rPr>
        <w:t>as a result</w:t>
      </w:r>
      <w:proofErr w:type="gramEnd"/>
      <w:r>
        <w:rPr>
          <w:color w:val="262626" w:themeColor="text1" w:themeTint="D9"/>
          <w:sz w:val="20"/>
        </w:rPr>
        <w:t xml:space="preserve"> of science and manufacturing investment driven by the global pandemic. One national industry association that gathered unit sales statistics accounting for 13 manufacturers of ULT cabinets found 52 % growth 2019 to 2020 and 20 % growth 2020 to 2021. A recent University of Copenhagen report stated that 'e</w:t>
      </w:r>
      <w:r w:rsidRPr="00E374EA">
        <w:rPr>
          <w:color w:val="262626" w:themeColor="text1" w:themeTint="D9"/>
          <w:sz w:val="20"/>
        </w:rPr>
        <w:t>ven brand-new eco-friendly ULT freezers consume between half and one-and-a-half times as much power as a 4-person household in Denmark</w:t>
      </w:r>
      <w:r>
        <w:rPr>
          <w:color w:val="262626" w:themeColor="text1" w:themeTint="D9"/>
          <w:sz w:val="20"/>
        </w:rPr>
        <w:t>’</w:t>
      </w:r>
      <w:r w:rsidRPr="002A5A26">
        <w:rPr>
          <w:rStyle w:val="FootnoteReference"/>
          <w:bCs/>
        </w:rPr>
        <w:footnoteReference w:id="43"/>
      </w:r>
      <w:r>
        <w:rPr>
          <w:color w:val="262626" w:themeColor="text1" w:themeTint="D9"/>
          <w:sz w:val="20"/>
        </w:rPr>
        <w:t xml:space="preserve"> – being between 3 500 and 8 000 kWh per year</w:t>
      </w:r>
      <w:r w:rsidRPr="00E374EA">
        <w:rPr>
          <w:color w:val="262626" w:themeColor="text1" w:themeTint="D9"/>
          <w:sz w:val="20"/>
        </w:rPr>
        <w:t>.</w:t>
      </w:r>
    </w:p>
    <w:p w14:paraId="7E749721" w14:textId="19D62D88" w:rsidR="00C13FFF" w:rsidRPr="00CE3DEA" w:rsidRDefault="00C13FFF" w:rsidP="00CE3DEA">
      <w:pPr>
        <w:pStyle w:val="Body"/>
        <w:spacing w:line="276" w:lineRule="auto"/>
        <w:jc w:val="both"/>
        <w:rPr>
          <w:color w:val="262626" w:themeColor="text1" w:themeTint="D9"/>
          <w:sz w:val="20"/>
        </w:rPr>
      </w:pPr>
      <w:r>
        <w:rPr>
          <w:color w:val="262626" w:themeColor="text1" w:themeTint="D9"/>
          <w:sz w:val="20"/>
        </w:rPr>
        <w:t xml:space="preserve">Manufacturers and other stakeholders of </w:t>
      </w:r>
      <w:r w:rsidRPr="00143F4E">
        <w:rPr>
          <w:color w:val="262626" w:themeColor="text1" w:themeTint="D9"/>
          <w:sz w:val="20"/>
        </w:rPr>
        <w:t xml:space="preserve">scientific </w:t>
      </w:r>
      <w:r>
        <w:rPr>
          <w:color w:val="262626" w:themeColor="text1" w:themeTint="D9"/>
          <w:sz w:val="20"/>
        </w:rPr>
        <w:t xml:space="preserve">and healthcare </w:t>
      </w:r>
      <w:r w:rsidR="00396092">
        <w:rPr>
          <w:color w:val="262626" w:themeColor="text1" w:themeTint="D9"/>
          <w:sz w:val="20"/>
        </w:rPr>
        <w:t xml:space="preserve">refrigerated storage </w:t>
      </w:r>
      <w:r w:rsidRPr="00143F4E">
        <w:rPr>
          <w:color w:val="262626" w:themeColor="text1" w:themeTint="D9"/>
          <w:sz w:val="20"/>
        </w:rPr>
        <w:t xml:space="preserve">cabinets </w:t>
      </w:r>
      <w:r>
        <w:rPr>
          <w:color w:val="262626" w:themeColor="text1" w:themeTint="D9"/>
          <w:sz w:val="20"/>
        </w:rPr>
        <w:t xml:space="preserve">have shown enthusiasm for energy labelling and given practical help to gather the necessary evidence and momentum to support an initiative that is globally coordinated. </w:t>
      </w:r>
      <w:r w:rsidRPr="00CE3DEA">
        <w:rPr>
          <w:rFonts w:cs="Segoe UI"/>
          <w:color w:val="262626" w:themeColor="text1" w:themeTint="D9"/>
          <w:sz w:val="20"/>
        </w:rPr>
        <w:t>Scientific lab staff tend to be highly interested in the energy and environmental performance of equipment they buy and use</w:t>
      </w:r>
      <w:r>
        <w:rPr>
          <w:rFonts w:cs="Segoe UI"/>
          <w:color w:val="262626" w:themeColor="text1" w:themeTint="D9"/>
          <w:sz w:val="20"/>
        </w:rPr>
        <w:t>,</w:t>
      </w:r>
      <w:r w:rsidRPr="00CE3DEA">
        <w:rPr>
          <w:rFonts w:cs="Segoe UI"/>
          <w:color w:val="262626" w:themeColor="text1" w:themeTint="D9"/>
          <w:sz w:val="20"/>
        </w:rPr>
        <w:t xml:space="preserve"> and are motivated to reduce impact of their activities. Academic and scientific users are increasingly seeking to reduce their carbon impact. Manufacturers assert substantial progress on energy efficiency in recent years; anecdotal evidence suggests 15 % to 30 % improvement in efficiency is </w:t>
      </w:r>
      <w:proofErr w:type="gramStart"/>
      <w:r w:rsidRPr="00CE3DEA">
        <w:rPr>
          <w:rFonts w:cs="Segoe UI"/>
          <w:color w:val="262626" w:themeColor="text1" w:themeTint="D9"/>
          <w:sz w:val="20"/>
        </w:rPr>
        <w:t>not uncommon</w:t>
      </w:r>
      <w:proofErr w:type="gramEnd"/>
      <w:r w:rsidRPr="00CE3DEA">
        <w:rPr>
          <w:rFonts w:cs="Segoe UI"/>
          <w:color w:val="262626" w:themeColor="text1" w:themeTint="D9"/>
          <w:sz w:val="20"/>
        </w:rPr>
        <w:t xml:space="preserve"> but progress has been patchy and non-transparent due to various poorly explained and non-comparable ways to assess energy performance.</w:t>
      </w:r>
    </w:p>
    <w:p w14:paraId="59D6DA4D" w14:textId="77777777" w:rsidR="00C13FFF" w:rsidRPr="00CE3DEA" w:rsidRDefault="00C13FFF" w:rsidP="00CE3DEA">
      <w:pPr>
        <w:pStyle w:val="NormalWeb"/>
        <w:shd w:val="clear" w:color="auto" w:fill="FFFFFF"/>
        <w:spacing w:line="276" w:lineRule="auto"/>
        <w:jc w:val="both"/>
        <w:rPr>
          <w:rFonts w:ascii="Verdana" w:hAnsi="Verdana" w:cs="Segoe UI"/>
          <w:color w:val="262626" w:themeColor="text1" w:themeTint="D9"/>
          <w:sz w:val="20"/>
          <w:szCs w:val="20"/>
          <w:lang w:val="en-GB"/>
        </w:rPr>
      </w:pPr>
      <w:r w:rsidRPr="00CE3DEA">
        <w:rPr>
          <w:rFonts w:ascii="Verdana" w:hAnsi="Verdana" w:cs="Segoe UI"/>
          <w:color w:val="262626" w:themeColor="text1" w:themeTint="D9"/>
          <w:sz w:val="20"/>
          <w:szCs w:val="20"/>
          <w:lang w:val="en-GB"/>
        </w:rPr>
        <w:t>Many factors combine to suggest that this sector is both well capable of assimilating ecodesign and energy labelling measures and would be welcoming of them due to the need of its multiple benefits. This market:</w:t>
      </w:r>
    </w:p>
    <w:p w14:paraId="2281ABFE" w14:textId="77777777" w:rsidR="00C13FFF" w:rsidRPr="00CE3DEA" w:rsidRDefault="00C13FFF" w:rsidP="00CE3DEA">
      <w:pPr>
        <w:pStyle w:val="NormalWeb"/>
        <w:numPr>
          <w:ilvl w:val="0"/>
          <w:numId w:val="58"/>
        </w:numPr>
        <w:shd w:val="clear" w:color="auto" w:fill="FFFFFF"/>
        <w:spacing w:line="276" w:lineRule="auto"/>
        <w:ind w:left="714" w:hanging="357"/>
        <w:jc w:val="both"/>
        <w:rPr>
          <w:rFonts w:ascii="Verdana" w:hAnsi="Verdana" w:cs="Segoe UI"/>
          <w:color w:val="262626" w:themeColor="text1" w:themeTint="D9"/>
          <w:sz w:val="20"/>
          <w:szCs w:val="20"/>
          <w:lang w:val="en-GB"/>
        </w:rPr>
      </w:pPr>
      <w:r w:rsidRPr="00CE3DEA">
        <w:rPr>
          <w:rFonts w:ascii="Verdana" w:hAnsi="Verdana" w:cs="Segoe UI"/>
          <w:color w:val="262626" w:themeColor="text1" w:themeTint="D9"/>
          <w:sz w:val="20"/>
          <w:szCs w:val="20"/>
          <w:lang w:val="en-GB"/>
        </w:rPr>
        <w:t>Is growing and successful.</w:t>
      </w:r>
    </w:p>
    <w:p w14:paraId="63AFF7F4" w14:textId="77777777" w:rsidR="00C13FFF" w:rsidRPr="00CE3DEA" w:rsidRDefault="00C13FFF" w:rsidP="00CE3DEA">
      <w:pPr>
        <w:pStyle w:val="NormalWeb"/>
        <w:numPr>
          <w:ilvl w:val="0"/>
          <w:numId w:val="58"/>
        </w:numPr>
        <w:shd w:val="clear" w:color="auto" w:fill="FFFFFF"/>
        <w:spacing w:line="276" w:lineRule="auto"/>
        <w:ind w:left="714" w:hanging="357"/>
        <w:jc w:val="both"/>
        <w:rPr>
          <w:rFonts w:ascii="Verdana" w:hAnsi="Verdana" w:cs="Segoe UI"/>
          <w:color w:val="262626" w:themeColor="text1" w:themeTint="D9"/>
          <w:sz w:val="20"/>
          <w:szCs w:val="20"/>
          <w:lang w:val="en-GB"/>
        </w:rPr>
      </w:pPr>
      <w:r w:rsidRPr="00CE3DEA">
        <w:rPr>
          <w:rFonts w:ascii="Verdana" w:hAnsi="Verdana" w:cs="Segoe UI"/>
          <w:color w:val="262626" w:themeColor="text1" w:themeTint="D9"/>
          <w:sz w:val="20"/>
          <w:szCs w:val="20"/>
          <w:lang w:val="en-GB"/>
        </w:rPr>
        <w:t>Has technically able suppliers used to working to exacting standards.</w:t>
      </w:r>
    </w:p>
    <w:p w14:paraId="70C82CD2" w14:textId="77777777" w:rsidR="00C13FFF" w:rsidRPr="00CE3DEA" w:rsidRDefault="00C13FFF" w:rsidP="00CE3DEA">
      <w:pPr>
        <w:pStyle w:val="NormalWeb"/>
        <w:numPr>
          <w:ilvl w:val="0"/>
          <w:numId w:val="58"/>
        </w:numPr>
        <w:shd w:val="clear" w:color="auto" w:fill="FFFFFF"/>
        <w:spacing w:line="276" w:lineRule="auto"/>
        <w:ind w:left="714" w:hanging="357"/>
        <w:jc w:val="both"/>
        <w:rPr>
          <w:rFonts w:ascii="Verdana" w:hAnsi="Verdana" w:cs="Segoe UI"/>
          <w:color w:val="262626" w:themeColor="text1" w:themeTint="D9"/>
          <w:sz w:val="20"/>
          <w:szCs w:val="20"/>
          <w:lang w:val="en-GB"/>
        </w:rPr>
      </w:pPr>
      <w:r w:rsidRPr="00CE3DEA">
        <w:rPr>
          <w:rFonts w:ascii="Verdana" w:hAnsi="Verdana" w:cs="Segoe UI"/>
          <w:color w:val="262626" w:themeColor="text1" w:themeTint="D9"/>
          <w:sz w:val="20"/>
          <w:szCs w:val="20"/>
          <w:lang w:val="en-GB"/>
        </w:rPr>
        <w:t>Has scope to improve energy efficiency.</w:t>
      </w:r>
    </w:p>
    <w:p w14:paraId="4A6C64AE" w14:textId="77777777" w:rsidR="00C13FFF" w:rsidRPr="00CE3DEA" w:rsidRDefault="00C13FFF" w:rsidP="00CE3DEA">
      <w:pPr>
        <w:pStyle w:val="NormalWeb"/>
        <w:numPr>
          <w:ilvl w:val="0"/>
          <w:numId w:val="58"/>
        </w:numPr>
        <w:shd w:val="clear" w:color="auto" w:fill="FFFFFF"/>
        <w:spacing w:line="276" w:lineRule="auto"/>
        <w:ind w:left="714" w:hanging="357"/>
        <w:jc w:val="both"/>
        <w:rPr>
          <w:rFonts w:ascii="Verdana" w:hAnsi="Verdana" w:cs="Segoe UI"/>
          <w:color w:val="262626" w:themeColor="text1" w:themeTint="D9"/>
          <w:sz w:val="20"/>
          <w:szCs w:val="20"/>
          <w:lang w:val="en-GB"/>
        </w:rPr>
      </w:pPr>
      <w:r w:rsidRPr="00CE3DEA">
        <w:rPr>
          <w:rFonts w:ascii="Verdana" w:hAnsi="Verdana" w:cs="Segoe UI"/>
          <w:color w:val="262626" w:themeColor="text1" w:themeTint="D9"/>
          <w:sz w:val="20"/>
          <w:szCs w:val="20"/>
          <w:lang w:val="en-GB"/>
        </w:rPr>
        <w:t>Shows wide disparity of energy performance for equipment with similar functionality.</w:t>
      </w:r>
    </w:p>
    <w:p w14:paraId="3B5F52BC" w14:textId="77777777" w:rsidR="00C13FFF" w:rsidRPr="00CE3DEA" w:rsidRDefault="00C13FFF" w:rsidP="00CE3DEA">
      <w:pPr>
        <w:pStyle w:val="NormalWeb"/>
        <w:numPr>
          <w:ilvl w:val="0"/>
          <w:numId w:val="58"/>
        </w:numPr>
        <w:shd w:val="clear" w:color="auto" w:fill="FFFFFF"/>
        <w:spacing w:line="276" w:lineRule="auto"/>
        <w:ind w:left="714" w:hanging="357"/>
        <w:jc w:val="both"/>
        <w:rPr>
          <w:rFonts w:ascii="Verdana" w:hAnsi="Verdana" w:cs="Segoe UI"/>
          <w:color w:val="262626" w:themeColor="text1" w:themeTint="D9"/>
          <w:sz w:val="20"/>
          <w:szCs w:val="20"/>
          <w:lang w:val="en-GB"/>
        </w:rPr>
      </w:pPr>
      <w:r w:rsidRPr="00CE3DEA">
        <w:rPr>
          <w:rFonts w:ascii="Verdana" w:hAnsi="Verdana" w:cs="Segoe UI"/>
          <w:color w:val="262626" w:themeColor="text1" w:themeTint="D9"/>
          <w:sz w:val="20"/>
          <w:szCs w:val="20"/>
          <w:lang w:val="en-GB"/>
        </w:rPr>
        <w:lastRenderedPageBreak/>
        <w:t>Lacks comparability of performance across different suppliers and countries.</w:t>
      </w:r>
    </w:p>
    <w:p w14:paraId="52F5C2DF" w14:textId="77777777" w:rsidR="00C13FFF" w:rsidRPr="00CE3DEA" w:rsidRDefault="00C13FFF" w:rsidP="00CE3DEA">
      <w:pPr>
        <w:pStyle w:val="NormalWeb"/>
        <w:numPr>
          <w:ilvl w:val="0"/>
          <w:numId w:val="58"/>
        </w:numPr>
        <w:shd w:val="clear" w:color="auto" w:fill="FFFFFF"/>
        <w:spacing w:line="276" w:lineRule="auto"/>
        <w:ind w:left="714" w:hanging="357"/>
        <w:jc w:val="both"/>
        <w:rPr>
          <w:rFonts w:ascii="Verdana" w:hAnsi="Verdana" w:cs="Segoe UI"/>
          <w:color w:val="262626" w:themeColor="text1" w:themeTint="D9"/>
          <w:sz w:val="20"/>
          <w:szCs w:val="20"/>
          <w:lang w:val="en-GB"/>
        </w:rPr>
      </w:pPr>
      <w:r w:rsidRPr="00CE3DEA">
        <w:rPr>
          <w:rFonts w:ascii="Verdana" w:hAnsi="Verdana" w:cs="Segoe UI"/>
          <w:color w:val="262626" w:themeColor="text1" w:themeTint="D9"/>
          <w:sz w:val="20"/>
          <w:szCs w:val="20"/>
          <w:lang w:val="en-GB"/>
        </w:rPr>
        <w:t>Has buyers interested in and motivated by energy efficiency and environmental impacts.</w:t>
      </w:r>
    </w:p>
    <w:p w14:paraId="3941D747" w14:textId="77777777" w:rsidR="00C13FFF" w:rsidRPr="00CE3DEA" w:rsidRDefault="00C13FFF" w:rsidP="00CE3DEA">
      <w:pPr>
        <w:pStyle w:val="NormalWeb"/>
        <w:numPr>
          <w:ilvl w:val="0"/>
          <w:numId w:val="58"/>
        </w:numPr>
        <w:shd w:val="clear" w:color="auto" w:fill="FFFFFF"/>
        <w:spacing w:line="276" w:lineRule="auto"/>
        <w:ind w:left="714" w:hanging="357"/>
        <w:jc w:val="both"/>
        <w:rPr>
          <w:rFonts w:ascii="Verdana" w:hAnsi="Verdana" w:cs="Segoe UI"/>
          <w:color w:val="262626" w:themeColor="text1" w:themeTint="D9"/>
          <w:sz w:val="20"/>
          <w:szCs w:val="20"/>
          <w:lang w:val="en-GB"/>
        </w:rPr>
      </w:pPr>
      <w:r w:rsidRPr="00CE3DEA">
        <w:rPr>
          <w:rFonts w:ascii="Verdana" w:hAnsi="Verdana" w:cs="Segoe UI"/>
          <w:color w:val="262626" w:themeColor="text1" w:themeTint="D9"/>
          <w:sz w:val="20"/>
          <w:szCs w:val="20"/>
          <w:lang w:val="en-GB"/>
        </w:rPr>
        <w:t>Has buyers with the budget flexibility to choose better performance.</w:t>
      </w:r>
    </w:p>
    <w:p w14:paraId="2DEC98B5" w14:textId="77777777" w:rsidR="00C13FFF" w:rsidRPr="00CE3DEA" w:rsidRDefault="00C13FFF" w:rsidP="00CE3DEA">
      <w:pPr>
        <w:pStyle w:val="NormalWeb"/>
        <w:numPr>
          <w:ilvl w:val="0"/>
          <w:numId w:val="58"/>
        </w:numPr>
        <w:shd w:val="clear" w:color="auto" w:fill="FFFFFF"/>
        <w:spacing w:line="276" w:lineRule="auto"/>
        <w:ind w:left="714" w:hanging="357"/>
        <w:jc w:val="both"/>
        <w:rPr>
          <w:rFonts w:ascii="Verdana" w:hAnsi="Verdana" w:cs="Segoe UI"/>
          <w:color w:val="262626" w:themeColor="text1" w:themeTint="D9"/>
          <w:sz w:val="20"/>
          <w:szCs w:val="20"/>
          <w:lang w:val="en-GB"/>
        </w:rPr>
      </w:pPr>
      <w:r w:rsidRPr="00CE3DEA">
        <w:rPr>
          <w:rFonts w:ascii="Verdana" w:hAnsi="Verdana" w:cs="Segoe UI"/>
          <w:color w:val="262626" w:themeColor="text1" w:themeTint="D9"/>
          <w:sz w:val="20"/>
          <w:szCs w:val="20"/>
          <w:lang w:val="en-GB"/>
        </w:rPr>
        <w:t xml:space="preserve">Has </w:t>
      </w:r>
      <w:proofErr w:type="gramStart"/>
      <w:r w:rsidRPr="00CE3DEA">
        <w:rPr>
          <w:rFonts w:ascii="Verdana" w:hAnsi="Verdana" w:cs="Segoe UI"/>
          <w:color w:val="262626" w:themeColor="text1" w:themeTint="D9"/>
          <w:sz w:val="20"/>
          <w:szCs w:val="20"/>
          <w:lang w:val="en-GB"/>
        </w:rPr>
        <w:t>buyers and users demonstrably keen to make behavioural</w:t>
      </w:r>
      <w:proofErr w:type="gramEnd"/>
      <w:r w:rsidRPr="00CE3DEA">
        <w:rPr>
          <w:rFonts w:ascii="Verdana" w:hAnsi="Verdana" w:cs="Segoe UI"/>
          <w:color w:val="262626" w:themeColor="text1" w:themeTint="D9"/>
          <w:sz w:val="20"/>
          <w:szCs w:val="20"/>
          <w:lang w:val="en-GB"/>
        </w:rPr>
        <w:t xml:space="preserve"> and procurement changes to reduce environmental impact of their activities.</w:t>
      </w:r>
    </w:p>
    <w:p w14:paraId="68AB3064" w14:textId="77777777" w:rsidR="00C13FFF" w:rsidRPr="00B076DE" w:rsidRDefault="00C13FFF" w:rsidP="00CE3DEA">
      <w:pPr>
        <w:pStyle w:val="Body"/>
        <w:spacing w:line="276" w:lineRule="auto"/>
        <w:jc w:val="both"/>
        <w:rPr>
          <w:rFonts w:eastAsiaTheme="minorEastAsia" w:cs="Segoe UI"/>
          <w:color w:val="262626" w:themeColor="text1" w:themeTint="D9"/>
          <w:sz w:val="20"/>
          <w:lang w:val="en-IE" w:eastAsia="fr-BE"/>
        </w:rPr>
      </w:pPr>
      <w:r w:rsidRPr="00CE3DEA">
        <w:rPr>
          <w:rFonts w:eastAsiaTheme="minorEastAsia" w:cs="Segoe UI"/>
          <w:color w:val="262626" w:themeColor="text1" w:themeTint="D9"/>
          <w:sz w:val="20"/>
          <w:lang w:eastAsia="fr-BE"/>
        </w:rPr>
        <w:t xml:space="preserve">Evidence so far suggests that this market appears highly appropriate for the introduction of energy labelling and a proposal for energy labelling </w:t>
      </w:r>
      <w:proofErr w:type="gramStart"/>
      <w:r w:rsidRPr="00CE3DEA">
        <w:rPr>
          <w:rFonts w:eastAsiaTheme="minorEastAsia" w:cs="Segoe UI"/>
          <w:color w:val="262626" w:themeColor="text1" w:themeTint="D9"/>
          <w:sz w:val="20"/>
          <w:lang w:eastAsia="fr-BE"/>
        </w:rPr>
        <w:t>is presented</w:t>
      </w:r>
      <w:proofErr w:type="gramEnd"/>
      <w:r w:rsidRPr="00CE3DEA">
        <w:rPr>
          <w:rFonts w:eastAsiaTheme="minorEastAsia" w:cs="Segoe UI"/>
          <w:color w:val="262626" w:themeColor="text1" w:themeTint="D9"/>
          <w:sz w:val="20"/>
          <w:lang w:eastAsia="fr-BE"/>
        </w:rPr>
        <w:t xml:space="preserve">. MEPS </w:t>
      </w:r>
      <w:proofErr w:type="gramStart"/>
      <w:r w:rsidRPr="00CE3DEA">
        <w:rPr>
          <w:rFonts w:eastAsiaTheme="minorEastAsia" w:cs="Segoe UI"/>
          <w:color w:val="262626" w:themeColor="text1" w:themeTint="D9"/>
          <w:sz w:val="20"/>
          <w:lang w:eastAsia="fr-BE"/>
        </w:rPr>
        <w:t>are not proposed</w:t>
      </w:r>
      <w:proofErr w:type="gramEnd"/>
      <w:r w:rsidRPr="00CE3DEA">
        <w:rPr>
          <w:rFonts w:eastAsiaTheme="minorEastAsia" w:cs="Segoe UI"/>
          <w:color w:val="262626" w:themeColor="text1" w:themeTint="D9"/>
          <w:sz w:val="20"/>
          <w:lang w:eastAsia="fr-BE"/>
        </w:rPr>
        <w:t xml:space="preserve"> as full flexibility to address specific purposes is needed, and the buyers are sufficiently technically aware and motivated to choose the most energy efficient appliance consistent</w:t>
      </w:r>
      <w:r w:rsidRPr="00B076DE">
        <w:rPr>
          <w:rFonts w:eastAsiaTheme="minorEastAsia" w:cs="Segoe UI"/>
          <w:color w:val="262626" w:themeColor="text1" w:themeTint="D9"/>
          <w:sz w:val="20"/>
          <w:lang w:val="en-IE" w:eastAsia="fr-BE"/>
        </w:rPr>
        <w:t xml:space="preserve"> with their specific need.</w:t>
      </w:r>
    </w:p>
    <w:p w14:paraId="76ED034B" w14:textId="0C158FB3" w:rsidR="003A354B" w:rsidRPr="00C57D4B" w:rsidRDefault="00007F09" w:rsidP="00CE3DEA">
      <w:pPr>
        <w:pStyle w:val="Heading2"/>
        <w:tabs>
          <w:tab w:val="clear" w:pos="1712"/>
        </w:tabs>
      </w:pPr>
      <w:r w:rsidRPr="00C57D4B">
        <w:t>C</w:t>
      </w:r>
      <w:r w:rsidR="003A354B" w:rsidRPr="00C57D4B">
        <w:t>ondensing units</w:t>
      </w:r>
    </w:p>
    <w:p w14:paraId="57B01334" w14:textId="57DDF69C" w:rsidR="003A354B" w:rsidRPr="00C57D4B" w:rsidRDefault="00007F09" w:rsidP="00657386">
      <w:pPr>
        <w:spacing w:line="276" w:lineRule="auto"/>
        <w:rPr>
          <w:rFonts w:ascii="Verdana" w:hAnsi="Verdana"/>
          <w:b/>
          <w:color w:val="262626" w:themeColor="text1" w:themeTint="D9"/>
          <w:sz w:val="22"/>
          <w:szCs w:val="22"/>
        </w:rPr>
      </w:pPr>
      <w:r w:rsidRPr="00C57D4B">
        <w:rPr>
          <w:rFonts w:ascii="Verdana" w:hAnsi="Verdana"/>
          <w:bCs/>
          <w:color w:val="262626" w:themeColor="text1" w:themeTint="D9"/>
          <w:sz w:val="20"/>
        </w:rPr>
        <w:t xml:space="preserve">Based on comprehensive market research, the review study has put together energy efficiency data for condensing units on the market in 2021, subdivided in the currently </w:t>
      </w:r>
      <w:proofErr w:type="gramStart"/>
      <w:r w:rsidRPr="00C57D4B">
        <w:rPr>
          <w:rFonts w:ascii="Verdana" w:hAnsi="Verdana"/>
          <w:bCs/>
          <w:color w:val="262626" w:themeColor="text1" w:themeTint="D9"/>
          <w:sz w:val="20"/>
        </w:rPr>
        <w:t>2</w:t>
      </w:r>
      <w:proofErr w:type="gramEnd"/>
      <w:r w:rsidRPr="00C57D4B">
        <w:rPr>
          <w:rFonts w:ascii="Verdana" w:hAnsi="Verdana"/>
          <w:bCs/>
          <w:color w:val="262626" w:themeColor="text1" w:themeTint="D9"/>
          <w:sz w:val="20"/>
        </w:rPr>
        <w:t xml:space="preserve"> temperature classes (</w:t>
      </w:r>
      <w:r w:rsidR="00CB27B1" w:rsidRPr="00C57D4B">
        <w:rPr>
          <w:rFonts w:ascii="Verdana" w:hAnsi="Verdana"/>
          <w:bCs/>
          <w:color w:val="262626" w:themeColor="text1" w:themeTint="D9"/>
          <w:sz w:val="20"/>
        </w:rPr>
        <w:t xml:space="preserve">Medium </w:t>
      </w:r>
      <w:r w:rsidR="00A113DE">
        <w:rPr>
          <w:rFonts w:ascii="Verdana" w:hAnsi="Verdana"/>
          <w:bCs/>
          <w:color w:val="262626" w:themeColor="text1" w:themeTint="D9"/>
          <w:sz w:val="20"/>
        </w:rPr>
        <w:t xml:space="preserve">Temperature </w:t>
      </w:r>
      <w:r w:rsidR="00CB27B1" w:rsidRPr="00C57D4B">
        <w:rPr>
          <w:rFonts w:ascii="Verdana" w:hAnsi="Verdana"/>
          <w:bCs/>
          <w:color w:val="262626" w:themeColor="text1" w:themeTint="D9"/>
          <w:sz w:val="20"/>
        </w:rPr>
        <w:t xml:space="preserve">and Low Temperature: </w:t>
      </w:r>
      <w:r w:rsidRPr="00C57D4B">
        <w:rPr>
          <w:rFonts w:ascii="Verdana" w:hAnsi="Verdana"/>
          <w:bCs/>
          <w:color w:val="262626" w:themeColor="text1" w:themeTint="D9"/>
          <w:sz w:val="20"/>
        </w:rPr>
        <w:t xml:space="preserve">MT and LT), with each 4 size classes. Efficiency numbers for the </w:t>
      </w:r>
      <w:r w:rsidR="00CB27B1" w:rsidRPr="00C57D4B">
        <w:rPr>
          <w:rFonts w:ascii="Verdana" w:hAnsi="Verdana"/>
          <w:bCs/>
          <w:color w:val="262626" w:themeColor="text1" w:themeTint="D9"/>
          <w:sz w:val="20"/>
        </w:rPr>
        <w:t>two</w:t>
      </w:r>
      <w:r w:rsidRPr="00C57D4B">
        <w:rPr>
          <w:rFonts w:ascii="Verdana" w:hAnsi="Verdana"/>
          <w:bCs/>
          <w:color w:val="262626" w:themeColor="text1" w:themeTint="D9"/>
          <w:sz w:val="20"/>
        </w:rPr>
        <w:t xml:space="preserve"> lower size classes </w:t>
      </w:r>
      <w:proofErr w:type="gramStart"/>
      <w:r w:rsidRPr="00C57D4B">
        <w:rPr>
          <w:rFonts w:ascii="Verdana" w:hAnsi="Verdana"/>
          <w:bCs/>
          <w:color w:val="262626" w:themeColor="text1" w:themeTint="D9"/>
          <w:sz w:val="20"/>
        </w:rPr>
        <w:t>are given</w:t>
      </w:r>
      <w:proofErr w:type="gramEnd"/>
      <w:r w:rsidRPr="00C57D4B">
        <w:rPr>
          <w:rFonts w:ascii="Verdana" w:hAnsi="Verdana"/>
          <w:bCs/>
          <w:color w:val="262626" w:themeColor="text1" w:themeTint="D9"/>
          <w:sz w:val="20"/>
        </w:rPr>
        <w:t xml:space="preserve"> in COP (Co</w:t>
      </w:r>
      <w:r w:rsidR="00C706C2" w:rsidRPr="00C57D4B">
        <w:rPr>
          <w:rFonts w:ascii="Verdana" w:hAnsi="Verdana"/>
          <w:bCs/>
          <w:color w:val="262626" w:themeColor="text1" w:themeTint="D9"/>
          <w:sz w:val="20"/>
        </w:rPr>
        <w:t>e</w:t>
      </w:r>
      <w:r w:rsidRPr="00C57D4B">
        <w:rPr>
          <w:rFonts w:ascii="Verdana" w:hAnsi="Verdana"/>
          <w:bCs/>
          <w:color w:val="262626" w:themeColor="text1" w:themeTint="D9"/>
          <w:sz w:val="20"/>
        </w:rPr>
        <w:t xml:space="preserve">fficient of Performance) and for the </w:t>
      </w:r>
      <w:r w:rsidR="00CB27B1" w:rsidRPr="00C57D4B">
        <w:rPr>
          <w:rFonts w:ascii="Verdana" w:hAnsi="Verdana"/>
          <w:bCs/>
          <w:color w:val="262626" w:themeColor="text1" w:themeTint="D9"/>
          <w:sz w:val="20"/>
        </w:rPr>
        <w:t xml:space="preserve">two </w:t>
      </w:r>
      <w:r w:rsidRPr="00C57D4B">
        <w:rPr>
          <w:rFonts w:ascii="Verdana" w:hAnsi="Verdana"/>
          <w:bCs/>
          <w:color w:val="262626" w:themeColor="text1" w:themeTint="D9"/>
          <w:sz w:val="20"/>
        </w:rPr>
        <w:t>higher classes in SEPR (</w:t>
      </w:r>
      <w:r w:rsidR="00CB27B1" w:rsidRPr="00C57D4B">
        <w:rPr>
          <w:rFonts w:ascii="Verdana" w:hAnsi="Verdana"/>
          <w:bCs/>
          <w:color w:val="262626" w:themeColor="text1" w:themeTint="D9"/>
          <w:sz w:val="20"/>
        </w:rPr>
        <w:t xml:space="preserve">Seasonal </w:t>
      </w:r>
      <w:r w:rsidR="00A113DE">
        <w:rPr>
          <w:rFonts w:ascii="Verdana" w:hAnsi="Verdana"/>
          <w:bCs/>
          <w:color w:val="262626" w:themeColor="text1" w:themeTint="D9"/>
          <w:sz w:val="20"/>
        </w:rPr>
        <w:t>E</w:t>
      </w:r>
      <w:r w:rsidR="00CB27B1" w:rsidRPr="00C57D4B">
        <w:rPr>
          <w:rFonts w:ascii="Verdana" w:hAnsi="Verdana"/>
          <w:bCs/>
          <w:color w:val="262626" w:themeColor="text1" w:themeTint="D9"/>
          <w:sz w:val="20"/>
        </w:rPr>
        <w:t xml:space="preserve">nergy </w:t>
      </w:r>
      <w:r w:rsidR="00A113DE">
        <w:rPr>
          <w:rFonts w:ascii="Verdana" w:hAnsi="Verdana"/>
          <w:bCs/>
          <w:color w:val="262626" w:themeColor="text1" w:themeTint="D9"/>
          <w:sz w:val="20"/>
        </w:rPr>
        <w:t>P</w:t>
      </w:r>
      <w:r w:rsidR="00CB27B1" w:rsidRPr="00C57D4B">
        <w:rPr>
          <w:rFonts w:ascii="Verdana" w:hAnsi="Verdana"/>
          <w:bCs/>
          <w:color w:val="262626" w:themeColor="text1" w:themeTint="D9"/>
          <w:sz w:val="20"/>
        </w:rPr>
        <w:t xml:space="preserve">erformance </w:t>
      </w:r>
      <w:r w:rsidR="00A113DE">
        <w:rPr>
          <w:rFonts w:ascii="Verdana" w:hAnsi="Verdana"/>
          <w:bCs/>
          <w:color w:val="262626" w:themeColor="text1" w:themeTint="D9"/>
          <w:sz w:val="20"/>
        </w:rPr>
        <w:t>R</w:t>
      </w:r>
      <w:r w:rsidR="00CB27B1" w:rsidRPr="00C57D4B">
        <w:rPr>
          <w:rFonts w:ascii="Verdana" w:hAnsi="Verdana"/>
          <w:bCs/>
          <w:color w:val="262626" w:themeColor="text1" w:themeTint="D9"/>
          <w:sz w:val="20"/>
        </w:rPr>
        <w:t xml:space="preserve">atio). The </w:t>
      </w:r>
      <w:r w:rsidR="00A113DE">
        <w:rPr>
          <w:rFonts w:ascii="Verdana" w:hAnsi="Verdana"/>
          <w:bCs/>
          <w:color w:val="262626" w:themeColor="text1" w:themeTint="D9"/>
          <w:sz w:val="20"/>
        </w:rPr>
        <w:t>scatter plot</w:t>
      </w:r>
      <w:r w:rsidR="00CB27B1" w:rsidRPr="00C57D4B">
        <w:rPr>
          <w:rFonts w:ascii="Verdana" w:hAnsi="Verdana"/>
          <w:bCs/>
          <w:color w:val="262626" w:themeColor="text1" w:themeTint="D9"/>
          <w:sz w:val="20"/>
        </w:rPr>
        <w:t xml:space="preserve"> below illustrates the outcome for medium temperature units in the size </w:t>
      </w:r>
      <w:r w:rsidR="00A113DE">
        <w:rPr>
          <w:rFonts w:ascii="Verdana" w:hAnsi="Verdana"/>
          <w:bCs/>
          <w:color w:val="262626" w:themeColor="text1" w:themeTint="D9"/>
          <w:sz w:val="20"/>
        </w:rPr>
        <w:t>5</w:t>
      </w:r>
      <w:r w:rsidR="00CB27B1" w:rsidRPr="00C57D4B">
        <w:rPr>
          <w:rFonts w:ascii="Verdana" w:hAnsi="Verdana"/>
          <w:bCs/>
          <w:color w:val="262626" w:themeColor="text1" w:themeTint="D9"/>
          <w:sz w:val="20"/>
        </w:rPr>
        <w:t xml:space="preserve"> to </w:t>
      </w:r>
      <w:r w:rsidR="00A113DE">
        <w:rPr>
          <w:rFonts w:ascii="Verdana" w:hAnsi="Verdana"/>
          <w:bCs/>
          <w:color w:val="262626" w:themeColor="text1" w:themeTint="D9"/>
          <w:sz w:val="20"/>
        </w:rPr>
        <w:t>2</w:t>
      </w:r>
      <w:r w:rsidR="00CB27B1" w:rsidRPr="00C57D4B">
        <w:rPr>
          <w:rFonts w:ascii="Verdana" w:hAnsi="Verdana"/>
          <w:bCs/>
          <w:color w:val="262626" w:themeColor="text1" w:themeTint="D9"/>
          <w:sz w:val="20"/>
        </w:rPr>
        <w:t>0 kW.</w:t>
      </w:r>
    </w:p>
    <w:p w14:paraId="29DB1C86" w14:textId="77777777" w:rsidR="00A113DE" w:rsidRDefault="00CB27B1" w:rsidP="00CE3DEA">
      <w:pPr>
        <w:keepNext/>
        <w:spacing w:line="276" w:lineRule="auto"/>
        <w:jc w:val="center"/>
      </w:pPr>
      <w:r w:rsidRPr="00C57D4B">
        <w:rPr>
          <w:noProof/>
          <w:color w:val="262626" w:themeColor="text1" w:themeTint="D9"/>
          <w:lang w:val="fr-BE" w:eastAsia="fr-BE"/>
        </w:rPr>
        <w:drawing>
          <wp:inline distT="0" distB="0" distL="0" distR="0" wp14:anchorId="48039AB5" wp14:editId="2FCB0466">
            <wp:extent cx="4105275" cy="2506005"/>
            <wp:effectExtent l="0" t="0" r="0" b="8890"/>
            <wp:docPr id="1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09409" cy="2508528"/>
                    </a:xfrm>
                    <a:prstGeom prst="rect">
                      <a:avLst/>
                    </a:prstGeom>
                    <a:noFill/>
                    <a:ln>
                      <a:noFill/>
                    </a:ln>
                  </pic:spPr>
                </pic:pic>
              </a:graphicData>
            </a:graphic>
          </wp:inline>
        </w:drawing>
      </w:r>
    </w:p>
    <w:p w14:paraId="146967C1" w14:textId="4858B016" w:rsidR="00CB27B1" w:rsidRPr="00AA24C0" w:rsidRDefault="00A113DE" w:rsidP="00CE3DEA">
      <w:pPr>
        <w:pStyle w:val="Caption"/>
        <w:jc w:val="left"/>
        <w:rPr>
          <w:rFonts w:ascii="Verdana" w:hAnsi="Verdana"/>
          <w:b w:val="0"/>
          <w:i/>
          <w:iCs/>
          <w:color w:val="262626" w:themeColor="text1" w:themeTint="D9"/>
          <w:sz w:val="20"/>
        </w:rPr>
      </w:pPr>
      <w:r w:rsidRPr="00AA24C0">
        <w:rPr>
          <w:rFonts w:ascii="Verdana" w:hAnsi="Verdana"/>
          <w:i/>
          <w:iCs/>
          <w:sz w:val="20"/>
        </w:rPr>
        <w:t xml:space="preserve">Figure </w:t>
      </w:r>
      <w:r w:rsidR="004E12D9" w:rsidRPr="00AA24C0">
        <w:rPr>
          <w:rFonts w:ascii="Verdana" w:hAnsi="Verdana"/>
          <w:i/>
          <w:iCs/>
          <w:sz w:val="20"/>
        </w:rPr>
        <w:t>1</w:t>
      </w:r>
      <w:r w:rsidR="00AA24C0" w:rsidRPr="00AA24C0">
        <w:rPr>
          <w:rFonts w:ascii="Verdana" w:hAnsi="Verdana"/>
          <w:i/>
          <w:iCs/>
          <w:sz w:val="20"/>
        </w:rPr>
        <w:t>1</w:t>
      </w:r>
      <w:r w:rsidRPr="00AA24C0">
        <w:rPr>
          <w:rFonts w:ascii="Verdana" w:hAnsi="Verdana"/>
          <w:i/>
          <w:iCs/>
          <w:sz w:val="20"/>
        </w:rPr>
        <w:t>: Representative SEPR values of medium temperature (MT) condensing units in the range from 5 – 20 kW cooling.</w:t>
      </w:r>
    </w:p>
    <w:p w14:paraId="5B90A833" w14:textId="77777777" w:rsidR="004E12D9" w:rsidRDefault="004E12D9" w:rsidP="00CB27B1">
      <w:pPr>
        <w:spacing w:line="276" w:lineRule="auto"/>
        <w:rPr>
          <w:rFonts w:ascii="Verdana" w:hAnsi="Verdana"/>
          <w:iCs/>
          <w:color w:val="262626" w:themeColor="text1" w:themeTint="D9"/>
          <w:sz w:val="20"/>
        </w:rPr>
      </w:pPr>
    </w:p>
    <w:p w14:paraId="049032E6" w14:textId="6F200451" w:rsidR="00CB27B1" w:rsidRPr="00C57D4B" w:rsidRDefault="00CB27B1" w:rsidP="00CB27B1">
      <w:pPr>
        <w:spacing w:line="276" w:lineRule="auto"/>
        <w:rPr>
          <w:rFonts w:ascii="Verdana" w:hAnsi="Verdana"/>
          <w:iCs/>
          <w:color w:val="262626" w:themeColor="text1" w:themeTint="D9"/>
          <w:sz w:val="20"/>
        </w:rPr>
      </w:pPr>
      <w:r w:rsidRPr="00C57D4B">
        <w:rPr>
          <w:rFonts w:ascii="Verdana" w:hAnsi="Verdana"/>
          <w:iCs/>
          <w:color w:val="262626" w:themeColor="text1" w:themeTint="D9"/>
          <w:sz w:val="20"/>
        </w:rPr>
        <w:t>Main conclusions from the analysis are that most COP</w:t>
      </w:r>
      <w:r w:rsidR="00A113DE">
        <w:rPr>
          <w:rFonts w:ascii="Verdana" w:hAnsi="Verdana"/>
          <w:iCs/>
          <w:color w:val="262626" w:themeColor="text1" w:themeTint="D9"/>
          <w:sz w:val="20"/>
        </w:rPr>
        <w:t>s</w:t>
      </w:r>
      <w:r w:rsidRPr="00C57D4B">
        <w:rPr>
          <w:rFonts w:ascii="Verdana" w:hAnsi="Verdana"/>
          <w:iCs/>
          <w:color w:val="262626" w:themeColor="text1" w:themeTint="D9"/>
          <w:sz w:val="20"/>
        </w:rPr>
        <w:t xml:space="preserve"> and SEPR</w:t>
      </w:r>
      <w:r w:rsidR="00A113DE">
        <w:rPr>
          <w:rFonts w:ascii="Verdana" w:hAnsi="Verdana"/>
          <w:iCs/>
          <w:color w:val="262626" w:themeColor="text1" w:themeTint="D9"/>
          <w:sz w:val="20"/>
        </w:rPr>
        <w:t>s</w:t>
      </w:r>
      <w:r w:rsidRPr="00C57D4B">
        <w:rPr>
          <w:rFonts w:ascii="Verdana" w:hAnsi="Verdana"/>
          <w:iCs/>
          <w:color w:val="262626" w:themeColor="text1" w:themeTint="D9"/>
          <w:sz w:val="20"/>
        </w:rPr>
        <w:t xml:space="preserve"> are much better than the MEPS-values over the whole range of cooling capacities. </w:t>
      </w:r>
      <w:proofErr w:type="gramStart"/>
      <w:r w:rsidRPr="00C57D4B">
        <w:rPr>
          <w:rFonts w:ascii="Verdana" w:hAnsi="Verdana"/>
          <w:iCs/>
          <w:color w:val="262626" w:themeColor="text1" w:themeTint="D9"/>
          <w:sz w:val="20"/>
        </w:rPr>
        <w:t>But</w:t>
      </w:r>
      <w:proofErr w:type="gramEnd"/>
      <w:r w:rsidRPr="00C57D4B">
        <w:rPr>
          <w:rFonts w:ascii="Verdana" w:hAnsi="Verdana"/>
          <w:iCs/>
          <w:color w:val="262626" w:themeColor="text1" w:themeTint="D9"/>
          <w:sz w:val="20"/>
        </w:rPr>
        <w:t xml:space="preserve"> no improvements could be observed in the BAT-values since the preparatory study of 2015, which refers to data from 2012. The totality of the values shows a typical broad distribution for products beyond the regulated MEPS level, which indicates a clear potential for improvement. As a result, adaptation of MEPS towards more ambitious levels seems </w:t>
      </w:r>
      <w:r w:rsidR="00225BBC">
        <w:rPr>
          <w:rFonts w:ascii="Verdana" w:hAnsi="Verdana"/>
          <w:iCs/>
          <w:color w:val="262626" w:themeColor="text1" w:themeTint="D9"/>
          <w:sz w:val="20"/>
        </w:rPr>
        <w:t>the way forward</w:t>
      </w:r>
      <w:r w:rsidR="00225BBC" w:rsidRPr="00C57D4B">
        <w:rPr>
          <w:rFonts w:ascii="Verdana" w:hAnsi="Verdana"/>
          <w:iCs/>
          <w:color w:val="262626" w:themeColor="text1" w:themeTint="D9"/>
          <w:sz w:val="20"/>
        </w:rPr>
        <w:t xml:space="preserve">. </w:t>
      </w:r>
      <w:r w:rsidR="00225BBC">
        <w:rPr>
          <w:rFonts w:ascii="Verdana" w:hAnsi="Verdana"/>
          <w:iCs/>
          <w:color w:val="262626" w:themeColor="text1" w:themeTint="D9"/>
          <w:sz w:val="20"/>
        </w:rPr>
        <w:t xml:space="preserve">Given that the units are purchased not always by refrigeration experts that would know how to interpret </w:t>
      </w:r>
      <w:r w:rsidR="00225BBC">
        <w:rPr>
          <w:rFonts w:ascii="Verdana" w:hAnsi="Verdana"/>
          <w:iCs/>
          <w:color w:val="262626" w:themeColor="text1" w:themeTint="D9"/>
          <w:sz w:val="20"/>
        </w:rPr>
        <w:lastRenderedPageBreak/>
        <w:t>the technical specifications (in hospitality, supermarkets, etc.</w:t>
      </w:r>
      <w:r w:rsidR="00225BBC">
        <w:rPr>
          <w:rStyle w:val="FootnoteReference"/>
          <w:rFonts w:ascii="Verdana" w:hAnsi="Verdana"/>
          <w:iCs/>
          <w:color w:val="262626" w:themeColor="text1" w:themeTint="D9"/>
        </w:rPr>
        <w:footnoteReference w:id="44"/>
      </w:r>
      <w:r w:rsidR="00FD0F67">
        <w:rPr>
          <w:rFonts w:ascii="Verdana" w:hAnsi="Verdana"/>
          <w:iCs/>
          <w:color w:val="262626" w:themeColor="text1" w:themeTint="D9"/>
          <w:sz w:val="20"/>
        </w:rPr>
        <w:t>), and a</w:t>
      </w:r>
      <w:bookmarkStart w:id="3" w:name="_GoBack"/>
      <w:bookmarkEnd w:id="3"/>
      <w:r w:rsidR="00225BBC">
        <w:rPr>
          <w:rFonts w:ascii="Verdana" w:hAnsi="Verdana"/>
          <w:iCs/>
          <w:color w:val="262626" w:themeColor="text1" w:themeTint="D9"/>
          <w:sz w:val="20"/>
        </w:rPr>
        <w:t xml:space="preserve">lso given that access to subsidies is often linked to top energy label classes (B, C), introducing an </w:t>
      </w:r>
      <w:r w:rsidRPr="00C57D4B">
        <w:rPr>
          <w:rFonts w:ascii="Verdana" w:hAnsi="Verdana"/>
          <w:iCs/>
          <w:color w:val="262626" w:themeColor="text1" w:themeTint="D9"/>
          <w:sz w:val="20"/>
        </w:rPr>
        <w:t xml:space="preserve">A-G efficiency labelling scheme seems the way forward to foster BAT development. </w:t>
      </w:r>
    </w:p>
    <w:p w14:paraId="04AA43DE" w14:textId="6BB02E58" w:rsidR="00C706C2" w:rsidRPr="00C57D4B" w:rsidRDefault="00A113DE" w:rsidP="00CB27B1">
      <w:pPr>
        <w:spacing w:line="276" w:lineRule="auto"/>
        <w:rPr>
          <w:rFonts w:ascii="Verdana" w:hAnsi="Verdana"/>
          <w:iCs/>
          <w:color w:val="262626" w:themeColor="text1" w:themeTint="D9"/>
          <w:sz w:val="20"/>
        </w:rPr>
      </w:pPr>
      <w:r>
        <w:rPr>
          <w:rFonts w:ascii="Verdana" w:hAnsi="Verdana"/>
          <w:iCs/>
          <w:color w:val="262626" w:themeColor="text1" w:themeTint="D9"/>
          <w:sz w:val="20"/>
        </w:rPr>
        <w:t>Therefore, a</w:t>
      </w:r>
      <w:r w:rsidR="0041550E" w:rsidRPr="00C57D4B">
        <w:rPr>
          <w:rFonts w:ascii="Verdana" w:hAnsi="Verdana"/>
          <w:iCs/>
          <w:color w:val="262626" w:themeColor="text1" w:themeTint="D9"/>
          <w:sz w:val="20"/>
        </w:rPr>
        <w:t xml:space="preserve"> labelling scheme is proposed, with </w:t>
      </w:r>
      <w:r w:rsidR="007C1A5E" w:rsidRPr="00C57D4B">
        <w:rPr>
          <w:rFonts w:ascii="Verdana" w:hAnsi="Verdana"/>
          <w:iCs/>
          <w:color w:val="262626" w:themeColor="text1" w:themeTint="D9"/>
          <w:sz w:val="20"/>
        </w:rPr>
        <w:t xml:space="preserve">still </w:t>
      </w:r>
      <w:r w:rsidR="0041550E" w:rsidRPr="00C57D4B">
        <w:rPr>
          <w:rFonts w:ascii="Verdana" w:hAnsi="Verdana"/>
          <w:iCs/>
          <w:color w:val="262626" w:themeColor="text1" w:themeTint="D9"/>
          <w:sz w:val="20"/>
        </w:rPr>
        <w:t xml:space="preserve">2 temperature classes </w:t>
      </w:r>
      <w:r w:rsidR="007C1A5E" w:rsidRPr="00C57D4B">
        <w:rPr>
          <w:rFonts w:ascii="Verdana" w:hAnsi="Verdana"/>
          <w:iCs/>
          <w:color w:val="262626" w:themeColor="text1" w:themeTint="D9"/>
          <w:sz w:val="20"/>
        </w:rPr>
        <w:t>but only 2 LT size classes (0.1-2 kW and 2-20 kW) and only 2 MT size classes (0.2-5 kW and 5-</w:t>
      </w:r>
      <w:r w:rsidR="003324FE">
        <w:rPr>
          <w:rFonts w:ascii="Verdana" w:hAnsi="Verdana"/>
          <w:iCs/>
          <w:color w:val="262626" w:themeColor="text1" w:themeTint="D9"/>
          <w:sz w:val="20"/>
        </w:rPr>
        <w:t>5</w:t>
      </w:r>
      <w:r w:rsidR="007C1A5E" w:rsidRPr="00C57D4B">
        <w:rPr>
          <w:rFonts w:ascii="Verdana" w:hAnsi="Verdana"/>
          <w:iCs/>
          <w:color w:val="262626" w:themeColor="text1" w:themeTint="D9"/>
          <w:sz w:val="20"/>
        </w:rPr>
        <w:t>0 kW). This simplification can be realised by using slant class-limit lines, using the size (=cooling capacity C in kW) as a parameter. The graph for the MT</w:t>
      </w:r>
      <w:r w:rsidR="003324FE">
        <w:rPr>
          <w:rFonts w:ascii="Verdana" w:hAnsi="Verdana"/>
          <w:iCs/>
          <w:color w:val="262626" w:themeColor="text1" w:themeTint="D9"/>
          <w:sz w:val="20"/>
        </w:rPr>
        <w:t xml:space="preserve"> </w:t>
      </w:r>
      <w:r w:rsidR="007C1A5E" w:rsidRPr="00C57D4B">
        <w:rPr>
          <w:rFonts w:ascii="Verdana" w:hAnsi="Verdana"/>
          <w:iCs/>
          <w:color w:val="262626" w:themeColor="text1" w:themeTint="D9"/>
          <w:sz w:val="20"/>
        </w:rPr>
        <w:t>5-50kW class gives an illustration</w:t>
      </w:r>
      <w:r w:rsidR="003324FE">
        <w:rPr>
          <w:rFonts w:ascii="Verdana" w:hAnsi="Verdana"/>
          <w:iCs/>
          <w:color w:val="262626" w:themeColor="text1" w:themeTint="D9"/>
          <w:sz w:val="20"/>
        </w:rPr>
        <w:t xml:space="preserve"> (see figure 1</w:t>
      </w:r>
      <w:r w:rsidR="00AA24C0">
        <w:rPr>
          <w:rFonts w:ascii="Verdana" w:hAnsi="Verdana"/>
          <w:iCs/>
          <w:color w:val="262626" w:themeColor="text1" w:themeTint="D9"/>
          <w:sz w:val="20"/>
        </w:rPr>
        <w:t>2</w:t>
      </w:r>
      <w:r w:rsidR="003324FE">
        <w:rPr>
          <w:rFonts w:ascii="Verdana" w:hAnsi="Verdana"/>
          <w:iCs/>
          <w:color w:val="262626" w:themeColor="text1" w:themeTint="D9"/>
          <w:sz w:val="20"/>
        </w:rPr>
        <w:t xml:space="preserve"> below)</w:t>
      </w:r>
      <w:r w:rsidR="00E63A4C" w:rsidRPr="00C57D4B">
        <w:rPr>
          <w:rFonts w:ascii="Verdana" w:hAnsi="Verdana"/>
          <w:iCs/>
          <w:color w:val="262626" w:themeColor="text1" w:themeTint="D9"/>
          <w:sz w:val="20"/>
        </w:rPr>
        <w:t xml:space="preserve">, where </w:t>
      </w:r>
      <w:r w:rsidR="003324FE">
        <w:rPr>
          <w:rFonts w:ascii="Verdana" w:hAnsi="Verdana"/>
          <w:iCs/>
          <w:color w:val="262626" w:themeColor="text1" w:themeTint="D9"/>
          <w:sz w:val="20"/>
        </w:rPr>
        <w:t xml:space="preserve">— </w:t>
      </w:r>
      <w:r w:rsidR="00E63A4C" w:rsidRPr="00C57D4B">
        <w:rPr>
          <w:rFonts w:ascii="Verdana" w:hAnsi="Verdana"/>
          <w:iCs/>
          <w:color w:val="262626" w:themeColor="text1" w:themeTint="D9"/>
          <w:sz w:val="20"/>
        </w:rPr>
        <w:t>as appropriate following the 2017 Energy Label Regulation, the A-class is empty.</w:t>
      </w:r>
    </w:p>
    <w:p w14:paraId="43FD3C2F" w14:textId="77777777" w:rsidR="005109A6" w:rsidRDefault="005109A6" w:rsidP="005109A6">
      <w:pPr>
        <w:spacing w:line="276" w:lineRule="auto"/>
        <w:jc w:val="center"/>
        <w:rPr>
          <w:rFonts w:ascii="Verdana" w:hAnsi="Verdana"/>
          <w:iCs/>
          <w:color w:val="262626" w:themeColor="text1" w:themeTint="D9"/>
          <w:sz w:val="20"/>
        </w:rPr>
      </w:pPr>
      <w:r w:rsidRPr="00C57D4B">
        <w:rPr>
          <w:rFonts w:ascii="Verdana" w:hAnsi="Verdana"/>
          <w:iCs/>
          <w:noProof/>
          <w:color w:val="262626" w:themeColor="text1" w:themeTint="D9"/>
          <w:sz w:val="20"/>
          <w:lang w:val="fr-BE" w:eastAsia="fr-BE"/>
        </w:rPr>
        <w:drawing>
          <wp:inline distT="0" distB="0" distL="0" distR="0" wp14:anchorId="20760BB8" wp14:editId="6BAC56DA">
            <wp:extent cx="4800600" cy="2884805"/>
            <wp:effectExtent l="0" t="0" r="0" b="0"/>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scatter chart&#10;&#10;Description automatically generated"/>
                    <pic:cNvPicPr/>
                  </pic:nvPicPr>
                  <pic:blipFill>
                    <a:blip r:embed="rId23"/>
                    <a:stretch>
                      <a:fillRect/>
                    </a:stretch>
                  </pic:blipFill>
                  <pic:spPr>
                    <a:xfrm>
                      <a:off x="0" y="0"/>
                      <a:ext cx="4811109" cy="2891120"/>
                    </a:xfrm>
                    <a:prstGeom prst="rect">
                      <a:avLst/>
                    </a:prstGeom>
                  </pic:spPr>
                </pic:pic>
              </a:graphicData>
            </a:graphic>
          </wp:inline>
        </w:drawing>
      </w:r>
    </w:p>
    <w:p w14:paraId="14C181E7" w14:textId="45439749" w:rsidR="005109A6" w:rsidRPr="00AA24C0" w:rsidRDefault="005109A6" w:rsidP="005109A6">
      <w:pPr>
        <w:pStyle w:val="Caption"/>
        <w:jc w:val="left"/>
        <w:rPr>
          <w:rFonts w:ascii="Verdana" w:hAnsi="Verdana"/>
          <w:i/>
          <w:iCs/>
          <w:color w:val="262626" w:themeColor="text1" w:themeTint="D9"/>
          <w:sz w:val="18"/>
          <w:szCs w:val="18"/>
        </w:rPr>
      </w:pPr>
      <w:r w:rsidRPr="00AA24C0">
        <w:rPr>
          <w:rFonts w:ascii="Verdana" w:hAnsi="Verdana"/>
          <w:i/>
          <w:iCs/>
          <w:sz w:val="18"/>
          <w:szCs w:val="18"/>
        </w:rPr>
        <w:t xml:space="preserve">Figure </w:t>
      </w:r>
      <w:r w:rsidR="004E12D9" w:rsidRPr="00AA24C0">
        <w:rPr>
          <w:rFonts w:ascii="Verdana" w:hAnsi="Verdana"/>
          <w:i/>
          <w:iCs/>
          <w:sz w:val="18"/>
          <w:szCs w:val="18"/>
        </w:rPr>
        <w:t>1</w:t>
      </w:r>
      <w:r w:rsidR="00AA24C0">
        <w:rPr>
          <w:rFonts w:ascii="Verdana" w:hAnsi="Verdana"/>
          <w:i/>
          <w:iCs/>
          <w:sz w:val="18"/>
          <w:szCs w:val="18"/>
        </w:rPr>
        <w:t>2</w:t>
      </w:r>
      <w:r w:rsidRPr="00AA24C0">
        <w:rPr>
          <w:rFonts w:ascii="Verdana" w:hAnsi="Verdana"/>
          <w:i/>
          <w:iCs/>
          <w:sz w:val="18"/>
          <w:szCs w:val="18"/>
        </w:rPr>
        <w:t>: Calculation for an A-G efficiency scheme for low temperature (LT) condensing units of the cooling range from 5 - 50 kW.</w:t>
      </w:r>
    </w:p>
    <w:p w14:paraId="7F541F1A" w14:textId="77777777" w:rsidR="005109A6" w:rsidRDefault="005109A6" w:rsidP="005109A6">
      <w:pPr>
        <w:spacing w:line="276" w:lineRule="auto"/>
        <w:jc w:val="center"/>
        <w:rPr>
          <w:rFonts w:ascii="Verdana" w:hAnsi="Verdana"/>
          <w:iCs/>
          <w:color w:val="262626" w:themeColor="text1" w:themeTint="D9"/>
          <w:sz w:val="20"/>
        </w:rPr>
      </w:pPr>
    </w:p>
    <w:p w14:paraId="37AFF9E4" w14:textId="7D172AA8" w:rsidR="00C706C2" w:rsidRPr="00C57D4B" w:rsidRDefault="00C706C2" w:rsidP="00CE3DEA">
      <w:pPr>
        <w:spacing w:line="276" w:lineRule="auto"/>
        <w:jc w:val="left"/>
        <w:rPr>
          <w:rFonts w:ascii="Verdana" w:hAnsi="Verdana"/>
          <w:iCs/>
          <w:color w:val="262626" w:themeColor="text1" w:themeTint="D9"/>
          <w:sz w:val="20"/>
        </w:rPr>
      </w:pPr>
      <w:r w:rsidRPr="00C57D4B">
        <w:rPr>
          <w:rFonts w:ascii="Verdana" w:hAnsi="Verdana"/>
          <w:iCs/>
          <w:color w:val="262626" w:themeColor="text1" w:themeTint="D9"/>
          <w:sz w:val="20"/>
        </w:rPr>
        <w:t>For ecodesign</w:t>
      </w:r>
      <w:r w:rsidR="003324FE">
        <w:rPr>
          <w:rFonts w:ascii="Verdana" w:hAnsi="Verdana"/>
          <w:iCs/>
          <w:color w:val="262626" w:themeColor="text1" w:themeTint="D9"/>
          <w:sz w:val="20"/>
        </w:rPr>
        <w:t>,</w:t>
      </w:r>
      <w:r w:rsidRPr="00C57D4B">
        <w:rPr>
          <w:rFonts w:ascii="Verdana" w:hAnsi="Verdana"/>
          <w:iCs/>
          <w:color w:val="262626" w:themeColor="text1" w:themeTint="D9"/>
          <w:sz w:val="20"/>
        </w:rPr>
        <w:t xml:space="preserve"> a 2-</w:t>
      </w:r>
      <w:r w:rsidR="00AA24C0">
        <w:rPr>
          <w:rFonts w:ascii="Verdana" w:hAnsi="Verdana"/>
          <w:iCs/>
          <w:color w:val="262626" w:themeColor="text1" w:themeTint="D9"/>
          <w:sz w:val="20"/>
        </w:rPr>
        <w:t>T</w:t>
      </w:r>
      <w:r w:rsidRPr="00C57D4B">
        <w:rPr>
          <w:rFonts w:ascii="Verdana" w:hAnsi="Verdana"/>
          <w:iCs/>
          <w:color w:val="262626" w:themeColor="text1" w:themeTint="D9"/>
          <w:sz w:val="20"/>
        </w:rPr>
        <w:t xml:space="preserve">ier approach is proposed where, after </w:t>
      </w:r>
      <w:r w:rsidR="003A0335" w:rsidRPr="00C57D4B">
        <w:rPr>
          <w:rFonts w:ascii="Verdana" w:hAnsi="Verdana"/>
          <w:iCs/>
          <w:color w:val="262626" w:themeColor="text1" w:themeTint="D9"/>
          <w:sz w:val="20"/>
        </w:rPr>
        <w:t xml:space="preserve">a </w:t>
      </w:r>
      <w:r w:rsidRPr="00C57D4B">
        <w:rPr>
          <w:rFonts w:ascii="Verdana" w:hAnsi="Verdana"/>
          <w:iCs/>
          <w:color w:val="262626" w:themeColor="text1" w:themeTint="D9"/>
          <w:sz w:val="20"/>
        </w:rPr>
        <w:t>one</w:t>
      </w:r>
      <w:r w:rsidR="003A0335" w:rsidRPr="00C57D4B">
        <w:rPr>
          <w:rFonts w:ascii="Verdana" w:hAnsi="Verdana"/>
          <w:iCs/>
          <w:color w:val="262626" w:themeColor="text1" w:themeTint="D9"/>
          <w:sz w:val="20"/>
        </w:rPr>
        <w:t>-</w:t>
      </w:r>
      <w:r w:rsidRPr="00C57D4B">
        <w:rPr>
          <w:rFonts w:ascii="Verdana" w:hAnsi="Verdana"/>
          <w:iCs/>
          <w:color w:val="262626" w:themeColor="text1" w:themeTint="D9"/>
          <w:sz w:val="20"/>
        </w:rPr>
        <w:t>year adaption period from entry into force of the legislation, the upper G-class limit (=lower F-class limit) sets the</w:t>
      </w:r>
      <w:r w:rsidRPr="00C13FFF">
        <w:rPr>
          <w:rFonts w:ascii="Verdana" w:hAnsi="Verdana"/>
          <w:iCs/>
          <w:color w:val="262626" w:themeColor="text1" w:themeTint="D9"/>
          <w:sz w:val="20"/>
        </w:rPr>
        <w:t xml:space="preserve"> </w:t>
      </w:r>
      <w:r w:rsidR="00C13FFF" w:rsidRPr="00CE3DEA">
        <w:rPr>
          <w:rFonts w:ascii="Verdana" w:hAnsi="Verdana"/>
          <w:iCs/>
          <w:color w:val="262626" w:themeColor="text1" w:themeTint="D9"/>
          <w:sz w:val="20"/>
        </w:rPr>
        <w:t>first</w:t>
      </w:r>
      <w:r w:rsidR="00C13FFF">
        <w:rPr>
          <w:rFonts w:ascii="Verdana" w:hAnsi="Verdana"/>
          <w:iCs/>
          <w:color w:val="262626" w:themeColor="text1" w:themeTint="D9"/>
          <w:sz w:val="20"/>
          <w:vertAlign w:val="superscript"/>
        </w:rPr>
        <w:t xml:space="preserve"> </w:t>
      </w:r>
      <w:r w:rsidRPr="00C57D4B">
        <w:rPr>
          <w:rFonts w:ascii="Verdana" w:hAnsi="Verdana"/>
          <w:iCs/>
          <w:color w:val="262626" w:themeColor="text1" w:themeTint="D9"/>
          <w:sz w:val="20"/>
        </w:rPr>
        <w:t xml:space="preserve">minimum ecodesign </w:t>
      </w:r>
      <w:r w:rsidR="00AA24C0">
        <w:rPr>
          <w:rFonts w:ascii="Verdana" w:hAnsi="Verdana"/>
          <w:iCs/>
          <w:color w:val="262626" w:themeColor="text1" w:themeTint="D9"/>
          <w:sz w:val="20"/>
        </w:rPr>
        <w:t>T</w:t>
      </w:r>
      <w:r w:rsidRPr="00C57D4B">
        <w:rPr>
          <w:rFonts w:ascii="Verdana" w:hAnsi="Verdana"/>
          <w:iCs/>
          <w:color w:val="262626" w:themeColor="text1" w:themeTint="D9"/>
          <w:sz w:val="20"/>
        </w:rPr>
        <w:t xml:space="preserve">ier. In a </w:t>
      </w:r>
      <w:r w:rsidR="00110B04">
        <w:rPr>
          <w:rFonts w:ascii="Verdana" w:hAnsi="Verdana"/>
          <w:iCs/>
          <w:color w:val="262626" w:themeColor="text1" w:themeTint="D9"/>
          <w:sz w:val="20"/>
        </w:rPr>
        <w:t>second</w:t>
      </w:r>
      <w:r w:rsidR="00110B04" w:rsidRPr="00C57D4B">
        <w:rPr>
          <w:rFonts w:ascii="Verdana" w:hAnsi="Verdana"/>
          <w:iCs/>
          <w:color w:val="262626" w:themeColor="text1" w:themeTint="D9"/>
          <w:sz w:val="20"/>
        </w:rPr>
        <w:t xml:space="preserve"> </w:t>
      </w:r>
      <w:r w:rsidR="00AA24C0">
        <w:rPr>
          <w:rFonts w:ascii="Verdana" w:hAnsi="Verdana"/>
          <w:iCs/>
          <w:color w:val="262626" w:themeColor="text1" w:themeTint="D9"/>
          <w:sz w:val="20"/>
        </w:rPr>
        <w:t>T</w:t>
      </w:r>
      <w:r w:rsidRPr="00C57D4B">
        <w:rPr>
          <w:rFonts w:ascii="Verdana" w:hAnsi="Verdana"/>
          <w:iCs/>
          <w:color w:val="262626" w:themeColor="text1" w:themeTint="D9"/>
          <w:sz w:val="20"/>
        </w:rPr>
        <w:t>ier, two years later, the upper F-class limit would set the minimum ecodesign limit.</w:t>
      </w:r>
    </w:p>
    <w:p w14:paraId="751266DB" w14:textId="0731141C" w:rsidR="00C706C2" w:rsidRPr="00C57D4B" w:rsidRDefault="00C706C2" w:rsidP="00C706C2">
      <w:pPr>
        <w:spacing w:line="276" w:lineRule="auto"/>
        <w:rPr>
          <w:rFonts w:ascii="Verdana" w:hAnsi="Verdana"/>
          <w:iCs/>
          <w:color w:val="262626" w:themeColor="text1" w:themeTint="D9"/>
          <w:sz w:val="20"/>
        </w:rPr>
      </w:pPr>
      <w:r w:rsidRPr="00C57D4B">
        <w:rPr>
          <w:rFonts w:ascii="Verdana" w:hAnsi="Verdana"/>
          <w:iCs/>
          <w:color w:val="262626" w:themeColor="text1" w:themeTint="D9"/>
          <w:sz w:val="20"/>
        </w:rPr>
        <w:t>Note that the 10</w:t>
      </w:r>
      <w:r w:rsidR="00E450CF">
        <w:rPr>
          <w:rFonts w:ascii="Verdana" w:hAnsi="Verdana"/>
          <w:iCs/>
          <w:color w:val="262626" w:themeColor="text1" w:themeTint="D9"/>
          <w:sz w:val="20"/>
        </w:rPr>
        <w:t xml:space="preserve"> </w:t>
      </w:r>
      <w:r w:rsidRPr="00C57D4B">
        <w:rPr>
          <w:rFonts w:ascii="Verdana" w:hAnsi="Verdana"/>
          <w:iCs/>
          <w:color w:val="262626" w:themeColor="text1" w:themeTint="D9"/>
          <w:sz w:val="20"/>
        </w:rPr>
        <w:t>% bonus for refrigerants with GWP</w:t>
      </w:r>
      <w:r w:rsidR="003324FE">
        <w:rPr>
          <w:rFonts w:ascii="Verdana" w:hAnsi="Verdana"/>
          <w:iCs/>
          <w:color w:val="262626" w:themeColor="text1" w:themeTint="D9"/>
          <w:sz w:val="20"/>
        </w:rPr>
        <w:t xml:space="preserve"> </w:t>
      </w:r>
      <w:r w:rsidRPr="00C57D4B">
        <w:rPr>
          <w:rFonts w:ascii="Verdana" w:hAnsi="Verdana"/>
          <w:iCs/>
          <w:color w:val="262626" w:themeColor="text1" w:themeTint="D9"/>
          <w:sz w:val="20"/>
        </w:rPr>
        <w:t>&lt;150 no longer applies as this is set already as a maximum by the F-gas regulation</w:t>
      </w:r>
      <w:r w:rsidR="00C13FFF">
        <w:rPr>
          <w:rStyle w:val="FootnoteReference"/>
          <w:rFonts w:ascii="Verdana" w:hAnsi="Verdana"/>
          <w:iCs/>
          <w:color w:val="262626" w:themeColor="text1" w:themeTint="D9"/>
        </w:rPr>
        <w:footnoteReference w:id="45"/>
      </w:r>
      <w:r w:rsidRPr="00C57D4B">
        <w:rPr>
          <w:rFonts w:ascii="Verdana" w:hAnsi="Verdana"/>
          <w:iCs/>
          <w:color w:val="262626" w:themeColor="text1" w:themeTint="D9"/>
          <w:sz w:val="20"/>
        </w:rPr>
        <w:t xml:space="preserve"> starting 1</w:t>
      </w:r>
      <w:r w:rsidR="00E450CF">
        <w:rPr>
          <w:rFonts w:ascii="Verdana" w:hAnsi="Verdana"/>
          <w:iCs/>
          <w:color w:val="262626" w:themeColor="text1" w:themeTint="D9"/>
          <w:sz w:val="20"/>
        </w:rPr>
        <w:t xml:space="preserve"> January </w:t>
      </w:r>
      <w:r w:rsidRPr="00C57D4B">
        <w:rPr>
          <w:rFonts w:ascii="Verdana" w:hAnsi="Verdana"/>
          <w:iCs/>
          <w:color w:val="262626" w:themeColor="text1" w:themeTint="D9"/>
          <w:sz w:val="20"/>
        </w:rPr>
        <w:t>2022</w:t>
      </w:r>
      <w:r w:rsidR="003324FE">
        <w:rPr>
          <w:rFonts w:ascii="Verdana" w:hAnsi="Verdana"/>
          <w:iCs/>
          <w:color w:val="262626" w:themeColor="text1" w:themeTint="D9"/>
          <w:sz w:val="20"/>
        </w:rPr>
        <w:t>.</w:t>
      </w:r>
    </w:p>
    <w:p w14:paraId="34E0D815" w14:textId="77777777" w:rsidR="00C706C2" w:rsidRPr="00C57D4B" w:rsidRDefault="00C706C2" w:rsidP="00C706C2">
      <w:pPr>
        <w:spacing w:line="276" w:lineRule="auto"/>
        <w:rPr>
          <w:rFonts w:ascii="Verdana" w:hAnsi="Verdana"/>
          <w:iCs/>
          <w:color w:val="262626" w:themeColor="text1" w:themeTint="D9"/>
          <w:sz w:val="20"/>
        </w:rPr>
      </w:pPr>
      <w:r w:rsidRPr="00C57D4B">
        <w:rPr>
          <w:rFonts w:ascii="Verdana" w:hAnsi="Verdana"/>
          <w:iCs/>
          <w:color w:val="262626" w:themeColor="text1" w:themeTint="D9"/>
          <w:sz w:val="20"/>
        </w:rPr>
        <w:t xml:space="preserve">As regards the questions from Phase 1.1: </w:t>
      </w:r>
    </w:p>
    <w:p w14:paraId="30CE7C6A" w14:textId="5349EF8D" w:rsidR="00C706C2" w:rsidRPr="00C57D4B" w:rsidRDefault="00C706C2" w:rsidP="00CE3DEA">
      <w:pPr>
        <w:pStyle w:val="ListParagraph"/>
        <w:numPr>
          <w:ilvl w:val="0"/>
          <w:numId w:val="55"/>
        </w:numPr>
        <w:spacing w:after="120" w:line="276" w:lineRule="auto"/>
        <w:ind w:left="714" w:hanging="357"/>
        <w:contextualSpacing w:val="0"/>
        <w:jc w:val="both"/>
        <w:rPr>
          <w:rFonts w:ascii="Verdana" w:hAnsi="Verdana"/>
          <w:iCs/>
          <w:color w:val="262626" w:themeColor="text1" w:themeTint="D9"/>
          <w:sz w:val="20"/>
        </w:rPr>
      </w:pPr>
      <w:r w:rsidRPr="00C57D4B">
        <w:rPr>
          <w:rFonts w:ascii="Verdana" w:hAnsi="Verdana"/>
          <w:iCs/>
          <w:color w:val="262626" w:themeColor="text1" w:themeTint="D9"/>
          <w:sz w:val="20"/>
        </w:rPr>
        <w:t>Condensing units with lower and higher rated cooling capacity than in the current scope (&lt;0</w:t>
      </w:r>
      <w:r w:rsidR="005602D1">
        <w:rPr>
          <w:rFonts w:ascii="Verdana" w:hAnsi="Verdana"/>
          <w:iCs/>
          <w:color w:val="262626" w:themeColor="text1" w:themeTint="D9"/>
          <w:sz w:val="20"/>
        </w:rPr>
        <w:t>.</w:t>
      </w:r>
      <w:r w:rsidRPr="00C57D4B">
        <w:rPr>
          <w:rFonts w:ascii="Verdana" w:hAnsi="Verdana"/>
          <w:iCs/>
          <w:color w:val="262626" w:themeColor="text1" w:themeTint="D9"/>
          <w:sz w:val="20"/>
        </w:rPr>
        <w:t>2 kW and &gt;50 kW at medium temperature MT and &lt;0</w:t>
      </w:r>
      <w:r w:rsidR="005602D1">
        <w:rPr>
          <w:rFonts w:ascii="Verdana" w:hAnsi="Verdana"/>
          <w:iCs/>
          <w:color w:val="262626" w:themeColor="text1" w:themeTint="D9"/>
          <w:sz w:val="20"/>
        </w:rPr>
        <w:t>.</w:t>
      </w:r>
      <w:r w:rsidRPr="00C57D4B">
        <w:rPr>
          <w:rFonts w:ascii="Verdana" w:hAnsi="Verdana"/>
          <w:iCs/>
          <w:color w:val="262626" w:themeColor="text1" w:themeTint="D9"/>
          <w:sz w:val="20"/>
        </w:rPr>
        <w:t>1 kW and &gt;20 kW at low temperature) were also found by this study</w:t>
      </w:r>
      <w:r w:rsidR="003324FE">
        <w:rPr>
          <w:rFonts w:ascii="Verdana" w:hAnsi="Verdana"/>
          <w:iCs/>
          <w:color w:val="262626" w:themeColor="text1" w:themeTint="D9"/>
          <w:sz w:val="20"/>
        </w:rPr>
        <w:t>,</w:t>
      </w:r>
      <w:r w:rsidRPr="00C57D4B">
        <w:rPr>
          <w:rFonts w:ascii="Verdana" w:hAnsi="Verdana"/>
          <w:iCs/>
          <w:color w:val="262626" w:themeColor="text1" w:themeTint="D9"/>
          <w:sz w:val="20"/>
        </w:rPr>
        <w:t xml:space="preserve"> but were found to have a very low market share. Thus</w:t>
      </w:r>
      <w:r w:rsidR="003324FE">
        <w:rPr>
          <w:rFonts w:ascii="Verdana" w:hAnsi="Verdana"/>
          <w:iCs/>
          <w:color w:val="262626" w:themeColor="text1" w:themeTint="D9"/>
          <w:sz w:val="20"/>
        </w:rPr>
        <w:t>,</w:t>
      </w:r>
      <w:r w:rsidRPr="00C57D4B">
        <w:rPr>
          <w:rFonts w:ascii="Verdana" w:hAnsi="Verdana"/>
          <w:iCs/>
          <w:color w:val="262626" w:themeColor="text1" w:themeTint="D9"/>
          <w:sz w:val="20"/>
        </w:rPr>
        <w:t xml:space="preserve"> extension of the scope in that direction is not proposed. </w:t>
      </w:r>
    </w:p>
    <w:p w14:paraId="68EB487A" w14:textId="157DFA0D" w:rsidR="005109A6" w:rsidRPr="00C57D4B" w:rsidRDefault="00C706C2" w:rsidP="00CE3DEA">
      <w:pPr>
        <w:pStyle w:val="ListParagraph"/>
        <w:numPr>
          <w:ilvl w:val="0"/>
          <w:numId w:val="55"/>
        </w:numPr>
        <w:spacing w:after="120" w:line="276" w:lineRule="auto"/>
        <w:ind w:left="714" w:hanging="357"/>
        <w:contextualSpacing w:val="0"/>
        <w:jc w:val="both"/>
        <w:rPr>
          <w:rFonts w:ascii="Verdana" w:hAnsi="Verdana"/>
          <w:iCs/>
          <w:color w:val="262626" w:themeColor="text1" w:themeTint="D9"/>
          <w:sz w:val="20"/>
        </w:rPr>
      </w:pPr>
      <w:r w:rsidRPr="00C57D4B">
        <w:rPr>
          <w:rFonts w:ascii="Verdana" w:hAnsi="Verdana"/>
          <w:iCs/>
          <w:color w:val="262626" w:themeColor="text1" w:themeTint="D9"/>
          <w:sz w:val="20"/>
        </w:rPr>
        <w:lastRenderedPageBreak/>
        <w:t xml:space="preserve">Condensing units including an evaporator or having a </w:t>
      </w:r>
      <w:proofErr w:type="gramStart"/>
      <w:r w:rsidRPr="00C57D4B">
        <w:rPr>
          <w:rFonts w:ascii="Verdana" w:hAnsi="Verdana"/>
          <w:iCs/>
          <w:color w:val="262626" w:themeColor="text1" w:themeTint="D9"/>
          <w:sz w:val="20"/>
        </w:rPr>
        <w:t>factory determined</w:t>
      </w:r>
      <w:proofErr w:type="gramEnd"/>
      <w:r w:rsidRPr="00C57D4B">
        <w:rPr>
          <w:rFonts w:ascii="Verdana" w:hAnsi="Verdana"/>
          <w:iCs/>
          <w:color w:val="262626" w:themeColor="text1" w:themeTint="D9"/>
          <w:sz w:val="20"/>
        </w:rPr>
        <w:t xml:space="preserve"> evaporator cannot be considered as condensing unit, but process chillers or packaged refrigeration units. Both of these </w:t>
      </w:r>
      <w:proofErr w:type="gramStart"/>
      <w:r w:rsidRPr="00C57D4B">
        <w:rPr>
          <w:rFonts w:ascii="Verdana" w:hAnsi="Verdana"/>
          <w:iCs/>
          <w:color w:val="262626" w:themeColor="text1" w:themeTint="D9"/>
          <w:sz w:val="20"/>
        </w:rPr>
        <w:t>cannot be put</w:t>
      </w:r>
      <w:proofErr w:type="gramEnd"/>
      <w:r w:rsidRPr="00C57D4B">
        <w:rPr>
          <w:rFonts w:ascii="Verdana" w:hAnsi="Verdana"/>
          <w:iCs/>
          <w:color w:val="262626" w:themeColor="text1" w:themeTint="D9"/>
          <w:sz w:val="20"/>
        </w:rPr>
        <w:t xml:space="preserve"> under the rules and standards for condensing unit, but would be placed under process chiller rules or air cooler rules</w:t>
      </w:r>
      <w:r w:rsidR="005109A6">
        <w:rPr>
          <w:rFonts w:ascii="Verdana" w:hAnsi="Verdana"/>
          <w:iCs/>
          <w:color w:val="262626" w:themeColor="text1" w:themeTint="D9"/>
          <w:sz w:val="20"/>
        </w:rPr>
        <w:t>.</w:t>
      </w:r>
    </w:p>
    <w:p w14:paraId="1DA11BD5" w14:textId="2B86128B" w:rsidR="00AE318C" w:rsidRPr="00CE3DEA" w:rsidRDefault="00AE318C" w:rsidP="00CE3DEA">
      <w:pPr>
        <w:pStyle w:val="ListParagraph"/>
        <w:numPr>
          <w:ilvl w:val="0"/>
          <w:numId w:val="55"/>
        </w:numPr>
        <w:spacing w:after="120" w:line="276" w:lineRule="auto"/>
        <w:ind w:left="714" w:hanging="357"/>
        <w:contextualSpacing w:val="0"/>
        <w:jc w:val="both"/>
        <w:rPr>
          <w:rFonts w:ascii="Verdana" w:hAnsi="Verdana"/>
          <w:sz w:val="20"/>
          <w:szCs w:val="20"/>
        </w:rPr>
      </w:pPr>
      <w:r w:rsidRPr="00CE3DEA">
        <w:rPr>
          <w:rFonts w:ascii="Verdana" w:hAnsi="Verdana"/>
          <w:sz w:val="20"/>
          <w:szCs w:val="20"/>
        </w:rPr>
        <w:t>Compressor racks and packs are not condensing units</w:t>
      </w:r>
      <w:r w:rsidR="005109A6">
        <w:rPr>
          <w:rFonts w:ascii="Verdana" w:hAnsi="Verdana"/>
          <w:sz w:val="20"/>
          <w:szCs w:val="20"/>
        </w:rPr>
        <w:t>,</w:t>
      </w:r>
      <w:r w:rsidRPr="00CE3DEA">
        <w:rPr>
          <w:rFonts w:ascii="Verdana" w:hAnsi="Verdana"/>
          <w:sz w:val="20"/>
          <w:szCs w:val="20"/>
        </w:rPr>
        <w:t xml:space="preserve"> and </w:t>
      </w:r>
      <w:proofErr w:type="gramStart"/>
      <w:r w:rsidRPr="00CE3DEA">
        <w:rPr>
          <w:rFonts w:ascii="Verdana" w:hAnsi="Verdana"/>
          <w:sz w:val="20"/>
          <w:szCs w:val="20"/>
        </w:rPr>
        <w:t>cannot be put</w:t>
      </w:r>
      <w:proofErr w:type="gramEnd"/>
      <w:r w:rsidRPr="00CE3DEA">
        <w:rPr>
          <w:rFonts w:ascii="Verdana" w:hAnsi="Verdana"/>
          <w:sz w:val="20"/>
          <w:szCs w:val="20"/>
        </w:rPr>
        <w:t xml:space="preserve"> under the rules and standards for condensing units. As the condenser is missing</w:t>
      </w:r>
      <w:r w:rsidR="005109A6">
        <w:rPr>
          <w:rFonts w:ascii="Verdana" w:hAnsi="Verdana"/>
          <w:sz w:val="20"/>
          <w:szCs w:val="20"/>
        </w:rPr>
        <w:t>,</w:t>
      </w:r>
      <w:r w:rsidRPr="00CE3DEA">
        <w:rPr>
          <w:rFonts w:ascii="Verdana" w:hAnsi="Verdana"/>
          <w:sz w:val="20"/>
          <w:szCs w:val="20"/>
        </w:rPr>
        <w:t xml:space="preserve"> the rating conditions do not match the technology. As most racks have added functionality, standard rating is not meaningful at all.</w:t>
      </w:r>
    </w:p>
    <w:p w14:paraId="53F1CAC5" w14:textId="6F36D59F" w:rsidR="00AE318C" w:rsidRPr="00C57D4B" w:rsidRDefault="00AE318C" w:rsidP="00CE3DEA">
      <w:pPr>
        <w:pStyle w:val="ListParagraph"/>
        <w:numPr>
          <w:ilvl w:val="0"/>
          <w:numId w:val="55"/>
        </w:numPr>
        <w:spacing w:after="120"/>
        <w:ind w:left="714" w:hanging="357"/>
        <w:contextualSpacing w:val="0"/>
        <w:jc w:val="both"/>
        <w:rPr>
          <w:rFonts w:ascii="Verdana" w:hAnsi="Verdana"/>
          <w:iCs/>
          <w:color w:val="262626" w:themeColor="text1" w:themeTint="D9"/>
          <w:sz w:val="20"/>
        </w:rPr>
      </w:pPr>
      <w:r w:rsidRPr="00C57D4B">
        <w:rPr>
          <w:rFonts w:ascii="Verdana" w:hAnsi="Verdana"/>
          <w:iCs/>
          <w:color w:val="262626" w:themeColor="text1" w:themeTint="D9"/>
          <w:sz w:val="20"/>
        </w:rPr>
        <w:t>Water</w:t>
      </w:r>
      <w:r w:rsidR="005109A6">
        <w:rPr>
          <w:rFonts w:ascii="Verdana" w:hAnsi="Verdana"/>
          <w:iCs/>
          <w:color w:val="262626" w:themeColor="text1" w:themeTint="D9"/>
          <w:sz w:val="20"/>
        </w:rPr>
        <w:t>-</w:t>
      </w:r>
      <w:r w:rsidRPr="00C57D4B">
        <w:rPr>
          <w:rFonts w:ascii="Verdana" w:hAnsi="Verdana"/>
          <w:iCs/>
          <w:color w:val="262626" w:themeColor="text1" w:themeTint="D9"/>
          <w:sz w:val="20"/>
        </w:rPr>
        <w:t xml:space="preserve">cooled condensing units </w:t>
      </w:r>
      <w:proofErr w:type="gramStart"/>
      <w:r w:rsidRPr="00C57D4B">
        <w:rPr>
          <w:rFonts w:ascii="Verdana" w:hAnsi="Verdana"/>
          <w:iCs/>
          <w:color w:val="262626" w:themeColor="text1" w:themeTint="D9"/>
          <w:sz w:val="20"/>
        </w:rPr>
        <w:t>are produced</w:t>
      </w:r>
      <w:proofErr w:type="gramEnd"/>
      <w:r w:rsidRPr="00C57D4B">
        <w:rPr>
          <w:rFonts w:ascii="Verdana" w:hAnsi="Verdana"/>
          <w:iCs/>
          <w:color w:val="262626" w:themeColor="text1" w:themeTint="D9"/>
          <w:sz w:val="20"/>
        </w:rPr>
        <w:t xml:space="preserve"> in small numbers and are thus a small part of the condensing unit market. Thus</w:t>
      </w:r>
      <w:r w:rsidR="003A0335" w:rsidRPr="00C57D4B">
        <w:rPr>
          <w:rFonts w:ascii="Verdana" w:hAnsi="Verdana"/>
          <w:iCs/>
          <w:color w:val="262626" w:themeColor="text1" w:themeTint="D9"/>
          <w:sz w:val="20"/>
        </w:rPr>
        <w:t>,</w:t>
      </w:r>
      <w:r w:rsidRPr="00C57D4B">
        <w:rPr>
          <w:rFonts w:ascii="Verdana" w:hAnsi="Verdana"/>
          <w:iCs/>
          <w:color w:val="262626" w:themeColor="text1" w:themeTint="D9"/>
          <w:sz w:val="20"/>
        </w:rPr>
        <w:t xml:space="preserve"> the energy saving impact is not high. Additionally, the rating standard is not feasible for the targets of the Regulation. Thus</w:t>
      </w:r>
      <w:r w:rsidR="003A0335" w:rsidRPr="00C57D4B">
        <w:rPr>
          <w:rFonts w:ascii="Verdana" w:hAnsi="Verdana"/>
          <w:iCs/>
          <w:color w:val="262626" w:themeColor="text1" w:themeTint="D9"/>
          <w:sz w:val="20"/>
        </w:rPr>
        <w:t>,</w:t>
      </w:r>
      <w:r w:rsidRPr="00C57D4B">
        <w:rPr>
          <w:rFonts w:ascii="Verdana" w:hAnsi="Verdana"/>
          <w:iCs/>
          <w:color w:val="262626" w:themeColor="text1" w:themeTint="D9"/>
          <w:sz w:val="20"/>
        </w:rPr>
        <w:t xml:space="preserve"> there is no market data basis for evaluation of the performance level and improvement potential.</w:t>
      </w:r>
    </w:p>
    <w:p w14:paraId="0E6DABF8" w14:textId="77777777" w:rsidR="00BC2755" w:rsidRPr="00C57D4B" w:rsidRDefault="00BC2755" w:rsidP="00C57D4B">
      <w:pPr>
        <w:pStyle w:val="ListParagraph"/>
        <w:spacing w:line="276" w:lineRule="auto"/>
        <w:rPr>
          <w:rFonts w:ascii="Verdana" w:hAnsi="Verdana"/>
          <w:color w:val="262626" w:themeColor="text1" w:themeTint="D9"/>
          <w:sz w:val="20"/>
        </w:rPr>
      </w:pPr>
    </w:p>
    <w:p w14:paraId="206AF634" w14:textId="5740B983" w:rsidR="00BC2755" w:rsidRPr="00C57D4B" w:rsidRDefault="00BC2755" w:rsidP="00CE3DEA">
      <w:pPr>
        <w:pStyle w:val="Heading2"/>
        <w:tabs>
          <w:tab w:val="clear" w:pos="1712"/>
        </w:tabs>
      </w:pPr>
      <w:r w:rsidRPr="00C57D4B">
        <w:t xml:space="preserve">Process </w:t>
      </w:r>
      <w:r w:rsidR="004E12D9">
        <w:t>c</w:t>
      </w:r>
      <w:r w:rsidRPr="00C57D4B">
        <w:t>hillers</w:t>
      </w:r>
    </w:p>
    <w:p w14:paraId="06876F65" w14:textId="15F3447E" w:rsidR="00E63A4C" w:rsidRPr="00C57D4B" w:rsidRDefault="000C0B91" w:rsidP="0047247A">
      <w:pPr>
        <w:spacing w:line="276" w:lineRule="auto"/>
        <w:rPr>
          <w:rFonts w:ascii="Verdana" w:hAnsi="Verdana"/>
          <w:iCs/>
          <w:color w:val="262626" w:themeColor="text1" w:themeTint="D9"/>
          <w:sz w:val="20"/>
        </w:rPr>
      </w:pPr>
      <w:r w:rsidRPr="00C57D4B">
        <w:rPr>
          <w:rFonts w:ascii="Verdana" w:hAnsi="Verdana"/>
          <w:iCs/>
          <w:color w:val="262626" w:themeColor="text1" w:themeTint="D9"/>
          <w:sz w:val="20"/>
        </w:rPr>
        <w:t xml:space="preserve">Like with condensing units, data </w:t>
      </w:r>
      <w:proofErr w:type="gramStart"/>
      <w:r w:rsidRPr="00C57D4B">
        <w:rPr>
          <w:rFonts w:ascii="Verdana" w:hAnsi="Verdana"/>
          <w:iCs/>
          <w:color w:val="262626" w:themeColor="text1" w:themeTint="D9"/>
          <w:sz w:val="20"/>
        </w:rPr>
        <w:t>were retrieved</w:t>
      </w:r>
      <w:proofErr w:type="gramEnd"/>
      <w:r w:rsidRPr="00C57D4B">
        <w:rPr>
          <w:rFonts w:ascii="Verdana" w:hAnsi="Verdana"/>
          <w:iCs/>
          <w:color w:val="262626" w:themeColor="text1" w:themeTint="D9"/>
          <w:sz w:val="20"/>
        </w:rPr>
        <w:t xml:space="preserve"> from manufacturer’s documentation, especially following the </w:t>
      </w:r>
      <w:r w:rsidR="005109A6">
        <w:rPr>
          <w:rFonts w:ascii="Verdana" w:hAnsi="Verdana"/>
          <w:iCs/>
          <w:color w:val="262626" w:themeColor="text1" w:themeTint="D9"/>
          <w:sz w:val="20"/>
        </w:rPr>
        <w:t>second</w:t>
      </w:r>
      <w:r w:rsidR="005109A6" w:rsidRPr="00C57D4B">
        <w:rPr>
          <w:rFonts w:ascii="Verdana" w:hAnsi="Verdana"/>
          <w:iCs/>
          <w:color w:val="262626" w:themeColor="text1" w:themeTint="D9"/>
          <w:sz w:val="20"/>
        </w:rPr>
        <w:t xml:space="preserve"> </w:t>
      </w:r>
      <w:r w:rsidRPr="00C57D4B">
        <w:rPr>
          <w:rFonts w:ascii="Verdana" w:hAnsi="Verdana"/>
          <w:iCs/>
          <w:color w:val="262626" w:themeColor="text1" w:themeTint="D9"/>
          <w:sz w:val="20"/>
        </w:rPr>
        <w:t>stakeholder meeting (Jan</w:t>
      </w:r>
      <w:r w:rsidR="005109A6">
        <w:rPr>
          <w:rFonts w:ascii="Verdana" w:hAnsi="Verdana"/>
          <w:iCs/>
          <w:color w:val="262626" w:themeColor="text1" w:themeTint="D9"/>
          <w:sz w:val="20"/>
        </w:rPr>
        <w:t xml:space="preserve">uary </w:t>
      </w:r>
      <w:r w:rsidRPr="00C57D4B">
        <w:rPr>
          <w:rFonts w:ascii="Verdana" w:hAnsi="Verdana"/>
          <w:iCs/>
          <w:color w:val="262626" w:themeColor="text1" w:themeTint="D9"/>
          <w:sz w:val="20"/>
        </w:rPr>
        <w:t>2022)</w:t>
      </w:r>
      <w:r w:rsidR="005109A6">
        <w:rPr>
          <w:rFonts w:ascii="Verdana" w:hAnsi="Verdana"/>
          <w:iCs/>
          <w:color w:val="262626" w:themeColor="text1" w:themeTint="D9"/>
          <w:sz w:val="20"/>
        </w:rPr>
        <w:t>,</w:t>
      </w:r>
      <w:r w:rsidRPr="00C57D4B">
        <w:rPr>
          <w:rFonts w:ascii="Verdana" w:hAnsi="Verdana"/>
          <w:iCs/>
          <w:color w:val="262626" w:themeColor="text1" w:themeTint="D9"/>
          <w:sz w:val="20"/>
        </w:rPr>
        <w:t xml:space="preserve"> where a preliminary</w:t>
      </w:r>
      <w:r w:rsidR="00225BBC">
        <w:rPr>
          <w:rFonts w:ascii="Verdana" w:hAnsi="Verdana"/>
          <w:iCs/>
          <w:color w:val="262626" w:themeColor="text1" w:themeTint="D9"/>
          <w:sz w:val="20"/>
        </w:rPr>
        <w:t>, ambitious</w:t>
      </w:r>
      <w:r w:rsidRPr="00C57D4B">
        <w:rPr>
          <w:rFonts w:ascii="Verdana" w:hAnsi="Verdana"/>
          <w:iCs/>
          <w:color w:val="262626" w:themeColor="text1" w:themeTint="D9"/>
          <w:sz w:val="20"/>
        </w:rPr>
        <w:t xml:space="preserve"> proposal was presented. Following those most recent data, the proposal for air-cooled MT chillers was </w:t>
      </w:r>
      <w:r w:rsidR="00AA24C0">
        <w:rPr>
          <w:rFonts w:ascii="Verdana" w:hAnsi="Verdana"/>
          <w:iCs/>
          <w:color w:val="262626" w:themeColor="text1" w:themeTint="D9"/>
          <w:sz w:val="20"/>
        </w:rPr>
        <w:t xml:space="preserve">made less stringent and </w:t>
      </w:r>
      <w:r w:rsidRPr="00C57D4B">
        <w:rPr>
          <w:rFonts w:ascii="Verdana" w:hAnsi="Verdana"/>
          <w:iCs/>
          <w:color w:val="262626" w:themeColor="text1" w:themeTint="D9"/>
          <w:sz w:val="20"/>
        </w:rPr>
        <w:t xml:space="preserve">reduced to a SEPR level of 3.5 for size </w:t>
      </w:r>
      <w:r w:rsidR="00225BBC">
        <w:rPr>
          <w:rFonts w:ascii="Verdana" w:hAnsi="Verdana"/>
          <w:iCs/>
          <w:color w:val="262626" w:themeColor="text1" w:themeTint="D9"/>
          <w:sz w:val="20"/>
        </w:rPr>
        <w:t>100-</w:t>
      </w:r>
      <w:r w:rsidRPr="00C57D4B">
        <w:rPr>
          <w:rFonts w:ascii="Verdana" w:hAnsi="Verdana"/>
          <w:iCs/>
          <w:color w:val="262626" w:themeColor="text1" w:themeTint="D9"/>
          <w:sz w:val="20"/>
        </w:rPr>
        <w:t xml:space="preserve">300 kW (instead of 3.6) and 3.8 for larger sizes (instead of 4.0). The main reason is that at the previous SEPR values the </w:t>
      </w:r>
      <w:proofErr w:type="gramStart"/>
      <w:r w:rsidR="00225BBC">
        <w:rPr>
          <w:rFonts w:ascii="Verdana" w:hAnsi="Verdana"/>
          <w:iCs/>
          <w:color w:val="262626" w:themeColor="text1" w:themeTint="D9"/>
          <w:sz w:val="20"/>
        </w:rPr>
        <w:t xml:space="preserve">most </w:t>
      </w:r>
      <w:r w:rsidRPr="00C57D4B">
        <w:rPr>
          <w:rFonts w:ascii="Verdana" w:hAnsi="Verdana"/>
          <w:iCs/>
          <w:color w:val="262626" w:themeColor="text1" w:themeTint="D9"/>
          <w:sz w:val="20"/>
        </w:rPr>
        <w:t>screw compressor technology</w:t>
      </w:r>
      <w:proofErr w:type="gramEnd"/>
      <w:r w:rsidRPr="00C57D4B">
        <w:rPr>
          <w:rFonts w:ascii="Verdana" w:hAnsi="Verdana"/>
          <w:iCs/>
          <w:color w:val="262626" w:themeColor="text1" w:themeTint="D9"/>
          <w:sz w:val="20"/>
        </w:rPr>
        <w:t xml:space="preserve"> would risk </w:t>
      </w:r>
      <w:r w:rsidR="003A0335" w:rsidRPr="00C57D4B">
        <w:rPr>
          <w:rFonts w:ascii="Verdana" w:hAnsi="Verdana"/>
          <w:iCs/>
          <w:color w:val="262626" w:themeColor="text1" w:themeTint="D9"/>
          <w:sz w:val="20"/>
        </w:rPr>
        <w:t>being</w:t>
      </w:r>
      <w:r w:rsidRPr="00C57D4B">
        <w:rPr>
          <w:rFonts w:ascii="Verdana" w:hAnsi="Verdana"/>
          <w:iCs/>
          <w:color w:val="262626" w:themeColor="text1" w:themeTint="D9"/>
          <w:sz w:val="20"/>
        </w:rPr>
        <w:t xml:space="preserve"> phased out or </w:t>
      </w:r>
      <w:r w:rsidR="005109A6" w:rsidRPr="00C57D4B">
        <w:rPr>
          <w:rFonts w:ascii="Verdana" w:hAnsi="Verdana"/>
          <w:iCs/>
          <w:color w:val="262626" w:themeColor="text1" w:themeTint="D9"/>
          <w:sz w:val="20"/>
        </w:rPr>
        <w:t>—</w:t>
      </w:r>
      <w:r w:rsidR="005109A6">
        <w:rPr>
          <w:rFonts w:ascii="Verdana" w:hAnsi="Verdana"/>
          <w:iCs/>
          <w:color w:val="262626" w:themeColor="text1" w:themeTint="D9"/>
          <w:sz w:val="20"/>
        </w:rPr>
        <w:t xml:space="preserve"> </w:t>
      </w:r>
      <w:r w:rsidRPr="00C57D4B">
        <w:rPr>
          <w:rFonts w:ascii="Verdana" w:hAnsi="Verdana"/>
          <w:iCs/>
          <w:color w:val="262626" w:themeColor="text1" w:themeTint="D9"/>
          <w:sz w:val="20"/>
        </w:rPr>
        <w:t>at great expense</w:t>
      </w:r>
      <w:r w:rsidR="005109A6">
        <w:rPr>
          <w:rFonts w:ascii="Verdana" w:hAnsi="Verdana"/>
          <w:iCs/>
          <w:color w:val="262626" w:themeColor="text1" w:themeTint="D9"/>
          <w:sz w:val="20"/>
        </w:rPr>
        <w:t xml:space="preserve"> </w:t>
      </w:r>
      <w:r w:rsidRPr="00C57D4B">
        <w:rPr>
          <w:rFonts w:ascii="Verdana" w:hAnsi="Verdana"/>
          <w:iCs/>
          <w:color w:val="262626" w:themeColor="text1" w:themeTint="D9"/>
          <w:sz w:val="20"/>
        </w:rPr>
        <w:t>—</w:t>
      </w:r>
      <w:r w:rsidR="005109A6">
        <w:rPr>
          <w:rFonts w:ascii="Verdana" w:hAnsi="Verdana"/>
          <w:iCs/>
          <w:color w:val="262626" w:themeColor="text1" w:themeTint="D9"/>
          <w:sz w:val="20"/>
        </w:rPr>
        <w:t xml:space="preserve"> </w:t>
      </w:r>
      <w:r w:rsidRPr="00C57D4B">
        <w:rPr>
          <w:rFonts w:ascii="Verdana" w:hAnsi="Verdana"/>
          <w:iCs/>
          <w:color w:val="262626" w:themeColor="text1" w:themeTint="D9"/>
          <w:sz w:val="20"/>
        </w:rPr>
        <w:t xml:space="preserve">would require very large heat exchangers. The alternative would then be </w:t>
      </w:r>
      <w:r w:rsidR="00225BBC">
        <w:rPr>
          <w:rFonts w:ascii="Verdana" w:hAnsi="Verdana"/>
          <w:iCs/>
          <w:color w:val="262626" w:themeColor="text1" w:themeTint="D9"/>
          <w:sz w:val="20"/>
        </w:rPr>
        <w:t>reciprocating</w:t>
      </w:r>
      <w:r w:rsidR="00225BBC" w:rsidRPr="00C57D4B">
        <w:rPr>
          <w:rFonts w:ascii="Verdana" w:hAnsi="Verdana"/>
          <w:iCs/>
          <w:color w:val="262626" w:themeColor="text1" w:themeTint="D9"/>
          <w:sz w:val="20"/>
        </w:rPr>
        <w:t xml:space="preserve"> </w:t>
      </w:r>
      <w:r w:rsidRPr="00C57D4B">
        <w:rPr>
          <w:rFonts w:ascii="Verdana" w:hAnsi="Verdana"/>
          <w:iCs/>
          <w:color w:val="262626" w:themeColor="text1" w:themeTint="D9"/>
          <w:sz w:val="20"/>
        </w:rPr>
        <w:t xml:space="preserve">compressors, which have high maintenance costs. The latter would be damaging especially for SMEs. </w:t>
      </w:r>
    </w:p>
    <w:p w14:paraId="3DF2B690" w14:textId="7020AD15" w:rsidR="000C0B91" w:rsidRPr="00C57D4B" w:rsidRDefault="000C0B91" w:rsidP="0047247A">
      <w:pPr>
        <w:spacing w:line="276" w:lineRule="auto"/>
        <w:rPr>
          <w:rFonts w:ascii="Verdana" w:hAnsi="Verdana"/>
          <w:iCs/>
          <w:color w:val="262626" w:themeColor="text1" w:themeTint="D9"/>
          <w:sz w:val="20"/>
        </w:rPr>
      </w:pPr>
      <w:r w:rsidRPr="00C57D4B">
        <w:rPr>
          <w:rFonts w:ascii="Verdana" w:hAnsi="Verdana"/>
          <w:iCs/>
          <w:color w:val="262626" w:themeColor="text1" w:themeTint="D9"/>
          <w:sz w:val="20"/>
        </w:rPr>
        <w:t xml:space="preserve">The figure </w:t>
      </w:r>
      <w:r w:rsidR="004E12D9">
        <w:rPr>
          <w:rFonts w:ascii="Verdana" w:hAnsi="Verdana"/>
          <w:iCs/>
          <w:color w:val="262626" w:themeColor="text1" w:themeTint="D9"/>
          <w:sz w:val="20"/>
        </w:rPr>
        <w:t>below</w:t>
      </w:r>
      <w:r w:rsidRPr="00C57D4B">
        <w:rPr>
          <w:rFonts w:ascii="Verdana" w:hAnsi="Verdana"/>
          <w:iCs/>
          <w:color w:val="262626" w:themeColor="text1" w:themeTint="D9"/>
          <w:sz w:val="20"/>
        </w:rPr>
        <w:t xml:space="preserve"> page shows a cloud diagram of the air-cooled MT units </w:t>
      </w:r>
      <w:r w:rsidR="00225BBC">
        <w:rPr>
          <w:rFonts w:ascii="Verdana" w:hAnsi="Verdana"/>
          <w:iCs/>
          <w:color w:val="262626" w:themeColor="text1" w:themeTint="D9"/>
          <w:sz w:val="20"/>
        </w:rPr>
        <w:t>by a few manufacturers with only scroll and screw compressor chillers at a low GWP (&lt;150), which — following the F-gas regulation — would be the only GWP level admitted long-term. Reciprocating compressors with higher efficiency values are not included.</w:t>
      </w:r>
    </w:p>
    <w:p w14:paraId="08B320AF" w14:textId="55A9D741" w:rsidR="000C0B91" w:rsidRPr="00C57D4B" w:rsidRDefault="000C0B91">
      <w:pPr>
        <w:spacing w:after="0"/>
        <w:jc w:val="left"/>
        <w:rPr>
          <w:rFonts w:ascii="Verdana" w:hAnsi="Verdana"/>
          <w:iCs/>
          <w:color w:val="262626" w:themeColor="text1" w:themeTint="D9"/>
          <w:sz w:val="20"/>
        </w:rPr>
      </w:pPr>
    </w:p>
    <w:p w14:paraId="77FACC46" w14:textId="77777777" w:rsidR="004E12D9" w:rsidRDefault="000C0B91" w:rsidP="00CE3DEA">
      <w:pPr>
        <w:keepNext/>
        <w:spacing w:line="276" w:lineRule="auto"/>
        <w:jc w:val="center"/>
      </w:pPr>
      <w:r w:rsidRPr="00C57D4B">
        <w:rPr>
          <w:noProof/>
          <w:color w:val="262626" w:themeColor="text1" w:themeTint="D9"/>
          <w:lang w:val="fr-BE" w:eastAsia="fr-BE"/>
        </w:rPr>
        <w:lastRenderedPageBreak/>
        <w:drawing>
          <wp:inline distT="0" distB="0" distL="0" distR="0" wp14:anchorId="1EBE4D2B" wp14:editId="05350E32">
            <wp:extent cx="4686300" cy="3400422"/>
            <wp:effectExtent l="0" t="0" r="0" b="0"/>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5"/>
                        </a:ext>
                      </a:extLst>
                    </a:blip>
                    <a:stretch>
                      <a:fillRect/>
                    </a:stretch>
                  </pic:blipFill>
                  <pic:spPr>
                    <a:xfrm>
                      <a:off x="0" y="0"/>
                      <a:ext cx="4687746" cy="3401471"/>
                    </a:xfrm>
                    <a:prstGeom prst="rect">
                      <a:avLst/>
                    </a:prstGeom>
                  </pic:spPr>
                </pic:pic>
              </a:graphicData>
            </a:graphic>
          </wp:inline>
        </w:drawing>
      </w:r>
    </w:p>
    <w:p w14:paraId="7E9AF8ED" w14:textId="7A2022A4" w:rsidR="000C0B91" w:rsidRPr="00AA24C0" w:rsidRDefault="004E12D9" w:rsidP="00CE3DEA">
      <w:pPr>
        <w:pStyle w:val="Caption"/>
        <w:jc w:val="left"/>
        <w:rPr>
          <w:rFonts w:ascii="Verdana" w:hAnsi="Verdana"/>
          <w:i/>
          <w:iCs/>
          <w:color w:val="262626" w:themeColor="text1" w:themeTint="D9"/>
          <w:sz w:val="18"/>
          <w:szCs w:val="18"/>
        </w:rPr>
      </w:pPr>
      <w:r w:rsidRPr="00AA24C0">
        <w:rPr>
          <w:rFonts w:ascii="Verdana" w:hAnsi="Verdana"/>
          <w:i/>
          <w:iCs/>
          <w:sz w:val="18"/>
          <w:szCs w:val="18"/>
        </w:rPr>
        <w:t>Figure 1</w:t>
      </w:r>
      <w:r w:rsidR="00AA24C0" w:rsidRPr="00AA24C0">
        <w:rPr>
          <w:rFonts w:ascii="Verdana" w:hAnsi="Verdana"/>
          <w:i/>
          <w:iCs/>
          <w:sz w:val="18"/>
          <w:szCs w:val="18"/>
        </w:rPr>
        <w:t>3</w:t>
      </w:r>
      <w:r w:rsidRPr="00AA24C0">
        <w:rPr>
          <w:rFonts w:ascii="Verdana" w:hAnsi="Verdana"/>
          <w:i/>
          <w:iCs/>
          <w:sz w:val="18"/>
          <w:szCs w:val="18"/>
        </w:rPr>
        <w:t xml:space="preserve">: </w:t>
      </w:r>
      <w:r w:rsidR="00225BBC" w:rsidRPr="00225BBC">
        <w:rPr>
          <w:rFonts w:ascii="Verdana" w:hAnsi="Verdana"/>
          <w:i/>
          <w:iCs/>
          <w:sz w:val="18"/>
          <w:szCs w:val="18"/>
        </w:rPr>
        <w:t xml:space="preserve">Retrieved SEPR data from </w:t>
      </w:r>
      <w:proofErr w:type="gramStart"/>
      <w:r w:rsidR="00225BBC" w:rsidRPr="00225BBC">
        <w:rPr>
          <w:rFonts w:ascii="Verdana" w:hAnsi="Verdana"/>
          <w:i/>
          <w:iCs/>
          <w:sz w:val="18"/>
          <w:szCs w:val="18"/>
        </w:rPr>
        <w:t>3</w:t>
      </w:r>
      <w:proofErr w:type="gramEnd"/>
      <w:r w:rsidR="00225BBC" w:rsidRPr="00225BBC">
        <w:rPr>
          <w:rFonts w:ascii="Verdana" w:hAnsi="Verdana"/>
          <w:i/>
          <w:iCs/>
          <w:sz w:val="18"/>
          <w:szCs w:val="18"/>
        </w:rPr>
        <w:t xml:space="preserve"> manufacturers, for low-GWP screw and scroll MT air-cooled process chillers and minimum limits for air-cooled </w:t>
      </w:r>
      <w:r w:rsidR="00225BBC">
        <w:rPr>
          <w:rFonts w:ascii="Verdana" w:hAnsi="Verdana"/>
          <w:i/>
          <w:iCs/>
          <w:sz w:val="18"/>
          <w:szCs w:val="18"/>
        </w:rPr>
        <w:t>MT</w:t>
      </w:r>
      <w:r w:rsidR="00225BBC" w:rsidRPr="00225BBC">
        <w:rPr>
          <w:rFonts w:ascii="Verdana" w:hAnsi="Verdana"/>
          <w:i/>
          <w:iCs/>
          <w:sz w:val="18"/>
          <w:szCs w:val="18"/>
        </w:rPr>
        <w:t xml:space="preserve"> process chillers from 2015 and currently proposed</w:t>
      </w:r>
      <w:r w:rsidR="00225BBC">
        <w:rPr>
          <w:rFonts w:ascii="Verdana" w:hAnsi="Verdana"/>
          <w:i/>
          <w:iCs/>
          <w:sz w:val="18"/>
          <w:szCs w:val="18"/>
        </w:rPr>
        <w:t xml:space="preserve"> minimum limits</w:t>
      </w:r>
      <w:r w:rsidRPr="00AA24C0">
        <w:rPr>
          <w:rFonts w:ascii="Verdana" w:hAnsi="Verdana"/>
          <w:i/>
          <w:iCs/>
          <w:sz w:val="18"/>
          <w:szCs w:val="18"/>
        </w:rPr>
        <w:t>.</w:t>
      </w:r>
    </w:p>
    <w:p w14:paraId="4531A7D7" w14:textId="34B19586" w:rsidR="004E12D9" w:rsidRDefault="004E12D9" w:rsidP="004E12D9">
      <w:pPr>
        <w:spacing w:line="276" w:lineRule="auto"/>
        <w:rPr>
          <w:rFonts w:ascii="Verdana" w:hAnsi="Verdana"/>
          <w:iCs/>
          <w:color w:val="262626" w:themeColor="text1" w:themeTint="D9"/>
          <w:sz w:val="20"/>
        </w:rPr>
      </w:pPr>
    </w:p>
    <w:p w14:paraId="4445CB26" w14:textId="4CD5B57D" w:rsidR="00225BBC" w:rsidRDefault="00225BBC" w:rsidP="00225BBC">
      <w:pPr>
        <w:spacing w:line="276" w:lineRule="auto"/>
        <w:rPr>
          <w:rFonts w:ascii="Verdana" w:hAnsi="Verdana"/>
          <w:iCs/>
          <w:color w:val="262626" w:themeColor="text1" w:themeTint="D9"/>
          <w:sz w:val="20"/>
        </w:rPr>
      </w:pPr>
      <w:r>
        <w:rPr>
          <w:rFonts w:ascii="Verdana" w:hAnsi="Verdana"/>
          <w:iCs/>
          <w:color w:val="262626" w:themeColor="text1" w:themeTint="D9"/>
          <w:sz w:val="20"/>
        </w:rPr>
        <w:t xml:space="preserve">The diagram shows best available SEPR-values at a level of just below 4.2. The new limits are 18 % higher than the current 2018 limits for this category, which is ambitious, probably eliminating about 40 % of existing low-GWP models. To give enough time, a single tier in 2027 </w:t>
      </w:r>
      <w:proofErr w:type="gramStart"/>
      <w:r>
        <w:rPr>
          <w:rFonts w:ascii="Verdana" w:hAnsi="Verdana"/>
          <w:iCs/>
          <w:color w:val="262626" w:themeColor="text1" w:themeTint="D9"/>
          <w:sz w:val="20"/>
        </w:rPr>
        <w:t>is considered</w:t>
      </w:r>
      <w:proofErr w:type="gramEnd"/>
      <w:r>
        <w:rPr>
          <w:rFonts w:ascii="Verdana" w:hAnsi="Verdana"/>
          <w:iCs/>
          <w:color w:val="262626" w:themeColor="text1" w:themeTint="D9"/>
          <w:sz w:val="20"/>
        </w:rPr>
        <w:t xml:space="preserve">, following entry into force in 2024. This is also in line with the developments foreseen in the F-gas regulation, where 2027 is a critical milestone. </w:t>
      </w:r>
    </w:p>
    <w:p w14:paraId="448F4E2A" w14:textId="77777777" w:rsidR="00225BBC" w:rsidRDefault="00225BBC" w:rsidP="00225BBC">
      <w:pPr>
        <w:spacing w:line="276" w:lineRule="auto"/>
        <w:rPr>
          <w:rFonts w:ascii="Verdana" w:hAnsi="Verdana"/>
          <w:iCs/>
          <w:color w:val="262626" w:themeColor="text1" w:themeTint="D9"/>
          <w:sz w:val="20"/>
        </w:rPr>
      </w:pPr>
      <w:r>
        <w:rPr>
          <w:rFonts w:ascii="Verdana" w:hAnsi="Verdana"/>
          <w:iCs/>
          <w:color w:val="262626" w:themeColor="text1" w:themeTint="D9"/>
          <w:sz w:val="20"/>
        </w:rPr>
        <w:t>As regards the impact on industry and consumers, expert interviews show that a main market driver for this product is the energy cost of the consumer and thus the efficiency of the product. Furthermore, the main manufacturers in this market are large companies, with SMEs found in customising and installing the standard units. Setting the “ErP 2027-limit” at an ambitious level will thus help not only environmentally, but also commercially.</w:t>
      </w:r>
    </w:p>
    <w:p w14:paraId="48B68789" w14:textId="27C5B02A" w:rsidR="00225BBC" w:rsidRDefault="00225BBC" w:rsidP="00225BBC">
      <w:pPr>
        <w:spacing w:line="276" w:lineRule="auto"/>
        <w:rPr>
          <w:rFonts w:ascii="Verdana" w:hAnsi="Verdana"/>
          <w:iCs/>
          <w:color w:val="262626" w:themeColor="text1" w:themeTint="D9"/>
          <w:sz w:val="20"/>
        </w:rPr>
      </w:pPr>
      <w:r>
        <w:rPr>
          <w:rFonts w:ascii="Verdana" w:hAnsi="Verdana"/>
          <w:iCs/>
          <w:color w:val="262626" w:themeColor="text1" w:themeTint="D9"/>
          <w:sz w:val="20"/>
        </w:rPr>
        <w:t>The limits for the air-cooled MT chillers category were the most critical. The new limits, also in the range of a 14-18 % increase compared to current limits, for water-cooled MT chillers nor for the LT chillers led to comments.</w:t>
      </w:r>
    </w:p>
    <w:p w14:paraId="485C10B7" w14:textId="1EEEAB63" w:rsidR="004E12D9" w:rsidRPr="00C57D4B" w:rsidRDefault="004E12D9" w:rsidP="004E12D9">
      <w:pPr>
        <w:spacing w:line="276" w:lineRule="auto"/>
        <w:rPr>
          <w:rFonts w:ascii="Verdana" w:hAnsi="Verdana"/>
          <w:iCs/>
          <w:color w:val="262626" w:themeColor="text1" w:themeTint="D9"/>
          <w:sz w:val="20"/>
        </w:rPr>
      </w:pPr>
      <w:r w:rsidRPr="00C57D4B">
        <w:rPr>
          <w:rFonts w:ascii="Verdana" w:hAnsi="Verdana"/>
          <w:iCs/>
          <w:color w:val="262626" w:themeColor="text1" w:themeTint="D9"/>
          <w:sz w:val="20"/>
        </w:rPr>
        <w:t xml:space="preserve">As regards the questions from Phase 1.1, the study team conducted expert interviews and found that including process chillers with evaporative cooling or absorption technology in the existing categories would not give a level playing field. </w:t>
      </w:r>
      <w:proofErr w:type="gramStart"/>
      <w:r w:rsidRPr="00C57D4B">
        <w:rPr>
          <w:rFonts w:ascii="Verdana" w:hAnsi="Verdana"/>
          <w:iCs/>
          <w:color w:val="262626" w:themeColor="text1" w:themeTint="D9"/>
          <w:sz w:val="20"/>
        </w:rPr>
        <w:t>And</w:t>
      </w:r>
      <w:proofErr w:type="gramEnd"/>
      <w:r w:rsidRPr="00C57D4B">
        <w:rPr>
          <w:rFonts w:ascii="Verdana" w:hAnsi="Verdana"/>
          <w:iCs/>
          <w:color w:val="262626" w:themeColor="text1" w:themeTint="D9"/>
          <w:sz w:val="20"/>
        </w:rPr>
        <w:t xml:space="preserve"> setting up separate categories for these niche markets would not be proportional. </w:t>
      </w:r>
      <w:proofErr w:type="gramStart"/>
      <w:r w:rsidRPr="00C57D4B">
        <w:rPr>
          <w:rFonts w:ascii="Verdana" w:hAnsi="Verdana"/>
          <w:iCs/>
          <w:color w:val="262626" w:themeColor="text1" w:themeTint="D9"/>
          <w:sz w:val="20"/>
        </w:rPr>
        <w:t>Hence</w:t>
      </w:r>
      <w:proofErr w:type="gramEnd"/>
      <w:r w:rsidRPr="00C57D4B">
        <w:rPr>
          <w:rFonts w:ascii="Verdana" w:hAnsi="Verdana"/>
          <w:iCs/>
          <w:color w:val="262626" w:themeColor="text1" w:themeTint="D9"/>
          <w:sz w:val="20"/>
        </w:rPr>
        <w:t xml:space="preserve"> it is not proposed to extend the scope to these technologies.  </w:t>
      </w:r>
    </w:p>
    <w:p w14:paraId="0EFA2622" w14:textId="6A40E4B2" w:rsidR="004E12D9" w:rsidRDefault="004E12D9" w:rsidP="004E12D9">
      <w:pPr>
        <w:spacing w:line="276" w:lineRule="auto"/>
        <w:rPr>
          <w:rFonts w:ascii="Verdana" w:hAnsi="Verdana"/>
          <w:iCs/>
          <w:color w:val="262626" w:themeColor="text1" w:themeTint="D9"/>
          <w:sz w:val="20"/>
        </w:rPr>
      </w:pPr>
      <w:r w:rsidRPr="00C57D4B">
        <w:rPr>
          <w:rFonts w:ascii="Verdana" w:hAnsi="Verdana"/>
          <w:iCs/>
          <w:color w:val="262626" w:themeColor="text1" w:themeTint="D9"/>
          <w:sz w:val="20"/>
        </w:rPr>
        <w:t>CO</w:t>
      </w:r>
      <w:r w:rsidRPr="007F4F7A">
        <w:rPr>
          <w:rFonts w:ascii="Verdana" w:hAnsi="Verdana"/>
          <w:iCs/>
          <w:color w:val="262626" w:themeColor="text1" w:themeTint="D9"/>
          <w:sz w:val="20"/>
          <w:vertAlign w:val="subscript"/>
        </w:rPr>
        <w:t>2</w:t>
      </w:r>
      <w:r w:rsidRPr="00C57D4B">
        <w:rPr>
          <w:rFonts w:ascii="Verdana" w:hAnsi="Verdana"/>
          <w:iCs/>
          <w:color w:val="262626" w:themeColor="text1" w:themeTint="D9"/>
          <w:sz w:val="20"/>
        </w:rPr>
        <w:t xml:space="preserve">-based chiller systems </w:t>
      </w:r>
      <w:r>
        <w:rPr>
          <w:rFonts w:ascii="Verdana" w:hAnsi="Verdana"/>
          <w:iCs/>
          <w:color w:val="262626" w:themeColor="text1" w:themeTint="D9"/>
          <w:sz w:val="20"/>
        </w:rPr>
        <w:t xml:space="preserve">do </w:t>
      </w:r>
      <w:r w:rsidRPr="00C57D4B">
        <w:rPr>
          <w:rFonts w:ascii="Verdana" w:hAnsi="Verdana"/>
          <w:iCs/>
          <w:color w:val="262626" w:themeColor="text1" w:themeTint="D9"/>
          <w:sz w:val="20"/>
        </w:rPr>
        <w:t xml:space="preserve">exist and should be included in the scope. As regards systems with high viscosity </w:t>
      </w:r>
      <w:proofErr w:type="gramStart"/>
      <w:r w:rsidRPr="00C57D4B">
        <w:rPr>
          <w:rFonts w:ascii="Verdana" w:hAnsi="Verdana"/>
          <w:iCs/>
          <w:color w:val="262626" w:themeColor="text1" w:themeTint="D9"/>
          <w:sz w:val="20"/>
        </w:rPr>
        <w:t>liquids</w:t>
      </w:r>
      <w:proofErr w:type="gramEnd"/>
      <w:r w:rsidRPr="00C57D4B">
        <w:rPr>
          <w:rFonts w:ascii="Verdana" w:hAnsi="Verdana"/>
          <w:iCs/>
          <w:color w:val="262626" w:themeColor="text1" w:themeTint="D9"/>
          <w:sz w:val="20"/>
        </w:rPr>
        <w:t xml:space="preserve"> more information is needed from stakeholders on the technical details</w:t>
      </w:r>
      <w:r w:rsidR="00225BBC">
        <w:rPr>
          <w:rFonts w:ascii="Verdana" w:hAnsi="Verdana"/>
          <w:iCs/>
          <w:color w:val="262626" w:themeColor="text1" w:themeTint="D9"/>
          <w:sz w:val="20"/>
        </w:rPr>
        <w:t xml:space="preserve"> to decide on definition and scope</w:t>
      </w:r>
      <w:r w:rsidRPr="00C57D4B">
        <w:rPr>
          <w:rFonts w:ascii="Verdana" w:hAnsi="Verdana"/>
          <w:iCs/>
          <w:color w:val="262626" w:themeColor="text1" w:themeTint="D9"/>
          <w:sz w:val="20"/>
        </w:rPr>
        <w:t>.</w:t>
      </w:r>
    </w:p>
    <w:p w14:paraId="54C37AC0" w14:textId="58A2D38B" w:rsidR="0094145E" w:rsidRDefault="00E450CF" w:rsidP="0094145E">
      <w:pPr>
        <w:pStyle w:val="Heading2"/>
        <w:tabs>
          <w:tab w:val="clear" w:pos="1712"/>
        </w:tabs>
      </w:pPr>
      <w:r>
        <w:lastRenderedPageBreak/>
        <w:t xml:space="preserve">Product proposed to be </w:t>
      </w:r>
      <w:r w:rsidR="009E4EF3">
        <w:t>excluded</w:t>
      </w:r>
    </w:p>
    <w:p w14:paraId="5E75ABC9" w14:textId="340F1F5F" w:rsidR="0094145E" w:rsidRPr="00143F4E" w:rsidRDefault="0094145E" w:rsidP="0094145E">
      <w:pPr>
        <w:pStyle w:val="Body"/>
        <w:spacing w:line="276" w:lineRule="auto"/>
        <w:jc w:val="both"/>
        <w:rPr>
          <w:color w:val="262626" w:themeColor="text1" w:themeTint="D9"/>
          <w:sz w:val="20"/>
        </w:rPr>
      </w:pPr>
      <w:r w:rsidRPr="00143F4E">
        <w:rPr>
          <w:color w:val="262626" w:themeColor="text1" w:themeTint="D9"/>
          <w:sz w:val="20"/>
        </w:rPr>
        <w:t xml:space="preserve">For the </w:t>
      </w:r>
      <w:r w:rsidRPr="00143F4E">
        <w:rPr>
          <w:color w:val="262626" w:themeColor="text1" w:themeTint="D9"/>
          <w:sz w:val="20"/>
          <w:u w:val="single"/>
        </w:rPr>
        <w:t>walk-in cold rooms</w:t>
      </w:r>
      <w:r w:rsidRPr="00143F4E">
        <w:rPr>
          <w:color w:val="262626" w:themeColor="text1" w:themeTint="D9"/>
          <w:sz w:val="20"/>
        </w:rPr>
        <w:t xml:space="preserve"> (WICRs) the issue </w:t>
      </w:r>
      <w:proofErr w:type="gramStart"/>
      <w:r w:rsidRPr="00143F4E">
        <w:rPr>
          <w:color w:val="262626" w:themeColor="text1" w:themeTint="D9"/>
          <w:sz w:val="20"/>
        </w:rPr>
        <w:t xml:space="preserve">has been </w:t>
      </w:r>
      <w:r w:rsidR="009E4EF3">
        <w:rPr>
          <w:color w:val="262626" w:themeColor="text1" w:themeTint="D9"/>
          <w:sz w:val="20"/>
        </w:rPr>
        <w:t xml:space="preserve">extensively </w:t>
      </w:r>
      <w:r w:rsidRPr="00143F4E">
        <w:rPr>
          <w:color w:val="262626" w:themeColor="text1" w:themeTint="D9"/>
          <w:sz w:val="20"/>
        </w:rPr>
        <w:t>studied</w:t>
      </w:r>
      <w:proofErr w:type="gramEnd"/>
      <w:r w:rsidRPr="00143F4E">
        <w:rPr>
          <w:color w:val="262626" w:themeColor="text1" w:themeTint="D9"/>
          <w:sz w:val="20"/>
        </w:rPr>
        <w:t>. In terms of energy consumption</w:t>
      </w:r>
      <w:r w:rsidR="00E450CF">
        <w:rPr>
          <w:color w:val="262626" w:themeColor="text1" w:themeTint="D9"/>
          <w:sz w:val="20"/>
        </w:rPr>
        <w:t>,</w:t>
      </w:r>
      <w:r w:rsidRPr="00143F4E">
        <w:rPr>
          <w:color w:val="262626" w:themeColor="text1" w:themeTint="D9"/>
          <w:sz w:val="20"/>
        </w:rPr>
        <w:t xml:space="preserve"> it could be an interesting addition to the scope. There are </w:t>
      </w:r>
      <w:r>
        <w:rPr>
          <w:color w:val="262626" w:themeColor="text1" w:themeTint="D9"/>
          <w:sz w:val="20"/>
        </w:rPr>
        <w:t xml:space="preserve">new </w:t>
      </w:r>
      <w:r w:rsidRPr="00143F4E">
        <w:rPr>
          <w:color w:val="262626" w:themeColor="text1" w:themeTint="D9"/>
          <w:sz w:val="20"/>
        </w:rPr>
        <w:t xml:space="preserve">EN standards </w:t>
      </w:r>
      <w:r>
        <w:rPr>
          <w:color w:val="262626" w:themeColor="text1" w:themeTint="D9"/>
          <w:sz w:val="20"/>
        </w:rPr>
        <w:t xml:space="preserve">covering (separately) performance of the insulated envelope and the packaged refrigeration units, though no overall performance metric. A </w:t>
      </w:r>
      <w:r w:rsidRPr="00143F4E">
        <w:rPr>
          <w:color w:val="262626" w:themeColor="text1" w:themeTint="D9"/>
          <w:sz w:val="20"/>
        </w:rPr>
        <w:t xml:space="preserve">US </w:t>
      </w:r>
      <w:r>
        <w:rPr>
          <w:color w:val="262626" w:themeColor="text1" w:themeTint="D9"/>
          <w:sz w:val="20"/>
        </w:rPr>
        <w:t xml:space="preserve">DOE </w:t>
      </w:r>
      <w:r w:rsidRPr="00143F4E">
        <w:rPr>
          <w:color w:val="262626" w:themeColor="text1" w:themeTint="D9"/>
          <w:sz w:val="20"/>
        </w:rPr>
        <w:t>rule</w:t>
      </w:r>
      <w:r>
        <w:rPr>
          <w:color w:val="262626" w:themeColor="text1" w:themeTint="D9"/>
          <w:sz w:val="20"/>
        </w:rPr>
        <w:t xml:space="preserve"> covers walk</w:t>
      </w:r>
      <w:r w:rsidR="00A60EAA">
        <w:rPr>
          <w:color w:val="262626" w:themeColor="text1" w:themeTint="D9"/>
          <w:sz w:val="20"/>
        </w:rPr>
        <w:t>-</w:t>
      </w:r>
      <w:r>
        <w:rPr>
          <w:color w:val="262626" w:themeColor="text1" w:themeTint="D9"/>
          <w:sz w:val="20"/>
        </w:rPr>
        <w:t xml:space="preserve">in cold rooms but mainly for specific components plus a complex overall performance metric, but this precedent could help inform an EU approach. </w:t>
      </w:r>
      <w:r w:rsidR="009E4EF3">
        <w:rPr>
          <w:color w:val="262626" w:themeColor="text1" w:themeTint="D9"/>
          <w:sz w:val="20"/>
        </w:rPr>
        <w:t>The main challenge is that</w:t>
      </w:r>
      <w:r w:rsidR="009E4EF3" w:rsidRPr="00143F4E">
        <w:rPr>
          <w:color w:val="262626" w:themeColor="text1" w:themeTint="D9"/>
          <w:sz w:val="20"/>
        </w:rPr>
        <w:t xml:space="preserve"> </w:t>
      </w:r>
      <w:r>
        <w:rPr>
          <w:color w:val="262626" w:themeColor="text1" w:themeTint="D9"/>
          <w:sz w:val="20"/>
        </w:rPr>
        <w:t>walk</w:t>
      </w:r>
      <w:r w:rsidR="00A60EAA">
        <w:rPr>
          <w:color w:val="262626" w:themeColor="text1" w:themeTint="D9"/>
          <w:sz w:val="20"/>
        </w:rPr>
        <w:t>-</w:t>
      </w:r>
      <w:r>
        <w:rPr>
          <w:color w:val="262626" w:themeColor="text1" w:themeTint="D9"/>
          <w:sz w:val="20"/>
        </w:rPr>
        <w:t xml:space="preserve">in cold rooms </w:t>
      </w:r>
      <w:proofErr w:type="gramStart"/>
      <w:r>
        <w:rPr>
          <w:color w:val="262626" w:themeColor="text1" w:themeTint="D9"/>
          <w:sz w:val="20"/>
        </w:rPr>
        <w:t xml:space="preserve">are mostly </w:t>
      </w:r>
      <w:r w:rsidRPr="00143F4E">
        <w:rPr>
          <w:color w:val="262626" w:themeColor="text1" w:themeTint="D9"/>
          <w:sz w:val="20"/>
        </w:rPr>
        <w:t>built</w:t>
      </w:r>
      <w:proofErr w:type="gramEnd"/>
      <w:r w:rsidRPr="00143F4E">
        <w:rPr>
          <w:color w:val="262626" w:themeColor="text1" w:themeTint="D9"/>
          <w:sz w:val="20"/>
        </w:rPr>
        <w:t xml:space="preserve"> on-site with </w:t>
      </w:r>
      <w:r w:rsidR="009E4EF3">
        <w:rPr>
          <w:color w:val="262626" w:themeColor="text1" w:themeTint="D9"/>
          <w:sz w:val="20"/>
        </w:rPr>
        <w:t xml:space="preserve">components </w:t>
      </w:r>
      <w:r w:rsidRPr="00143F4E">
        <w:rPr>
          <w:color w:val="262626" w:themeColor="text1" w:themeTint="D9"/>
          <w:sz w:val="20"/>
        </w:rPr>
        <w:t xml:space="preserve">(panels, doors, refrigeration units) from different suppliers/OEMs </w:t>
      </w:r>
      <w:r>
        <w:rPr>
          <w:color w:val="262626" w:themeColor="text1" w:themeTint="D9"/>
          <w:sz w:val="20"/>
        </w:rPr>
        <w:t>with details of design</w:t>
      </w:r>
      <w:r w:rsidR="000900C6">
        <w:rPr>
          <w:color w:val="262626" w:themeColor="text1" w:themeTint="D9"/>
          <w:sz w:val="20"/>
        </w:rPr>
        <w:t>/sizing</w:t>
      </w:r>
      <w:r>
        <w:rPr>
          <w:color w:val="262626" w:themeColor="text1" w:themeTint="D9"/>
          <w:sz w:val="20"/>
        </w:rPr>
        <w:t xml:space="preserve"> and </w:t>
      </w:r>
      <w:r w:rsidR="009E4EF3">
        <w:rPr>
          <w:color w:val="262626" w:themeColor="text1" w:themeTint="D9"/>
          <w:sz w:val="20"/>
        </w:rPr>
        <w:t xml:space="preserve">quality of </w:t>
      </w:r>
      <w:r>
        <w:rPr>
          <w:color w:val="262626" w:themeColor="text1" w:themeTint="D9"/>
          <w:sz w:val="20"/>
        </w:rPr>
        <w:t xml:space="preserve">assembly having an overriding impact on eventual energy efficiency. This also </w:t>
      </w:r>
      <w:r w:rsidRPr="00143F4E">
        <w:rPr>
          <w:color w:val="262626" w:themeColor="text1" w:themeTint="D9"/>
          <w:sz w:val="20"/>
        </w:rPr>
        <w:t xml:space="preserve">makes market surveillance challenging. Furthermore, the companies building the units are in majority SMEs operating in a very competitive business environment. For </w:t>
      </w:r>
      <w:r>
        <w:rPr>
          <w:color w:val="262626" w:themeColor="text1" w:themeTint="D9"/>
          <w:sz w:val="20"/>
        </w:rPr>
        <w:t xml:space="preserve">very similar reasons to their exclusion a decade ago from the current ecodesign regulation, </w:t>
      </w:r>
      <w:r w:rsidRPr="00143F4E">
        <w:rPr>
          <w:color w:val="262626" w:themeColor="text1" w:themeTint="D9"/>
          <w:sz w:val="20"/>
        </w:rPr>
        <w:t xml:space="preserve">it </w:t>
      </w:r>
      <w:proofErr w:type="gramStart"/>
      <w:r w:rsidRPr="00143F4E">
        <w:rPr>
          <w:color w:val="262626" w:themeColor="text1" w:themeTint="D9"/>
          <w:sz w:val="20"/>
        </w:rPr>
        <w:t xml:space="preserve">is </w:t>
      </w:r>
      <w:r>
        <w:rPr>
          <w:color w:val="262626" w:themeColor="text1" w:themeTint="D9"/>
          <w:sz w:val="20"/>
        </w:rPr>
        <w:t>concluded</w:t>
      </w:r>
      <w:proofErr w:type="gramEnd"/>
      <w:r>
        <w:rPr>
          <w:color w:val="262626" w:themeColor="text1" w:themeTint="D9"/>
          <w:sz w:val="20"/>
        </w:rPr>
        <w:t xml:space="preserve"> that conditions are not yet in place to regulate walk</w:t>
      </w:r>
      <w:r w:rsidR="00A60EAA">
        <w:rPr>
          <w:color w:val="262626" w:themeColor="text1" w:themeTint="D9"/>
          <w:sz w:val="20"/>
        </w:rPr>
        <w:t>-</w:t>
      </w:r>
      <w:r>
        <w:rPr>
          <w:color w:val="262626" w:themeColor="text1" w:themeTint="D9"/>
          <w:sz w:val="20"/>
        </w:rPr>
        <w:t>in cold rooms under ecodesign, despite efforts by the industry to develop test standards</w:t>
      </w:r>
      <w:r w:rsidRPr="00143F4E">
        <w:rPr>
          <w:color w:val="262626" w:themeColor="text1" w:themeTint="D9"/>
          <w:sz w:val="20"/>
        </w:rPr>
        <w:t xml:space="preserve">. </w:t>
      </w:r>
      <w:r>
        <w:rPr>
          <w:color w:val="262626" w:themeColor="text1" w:themeTint="D9"/>
          <w:sz w:val="20"/>
        </w:rPr>
        <w:t>However, with coordination to establish an overall performance assessment method combined with a code of practice for design and assembly, major improvement of efficiency would be a practical likelihood.</w:t>
      </w:r>
    </w:p>
    <w:p w14:paraId="146FCC86" w14:textId="6B7BD162" w:rsidR="0094145E" w:rsidRPr="00143F4E" w:rsidRDefault="0094145E" w:rsidP="0094145E">
      <w:pPr>
        <w:pStyle w:val="Body"/>
        <w:spacing w:line="276" w:lineRule="auto"/>
        <w:jc w:val="both"/>
        <w:rPr>
          <w:color w:val="262626" w:themeColor="text1" w:themeTint="D9"/>
          <w:sz w:val="20"/>
        </w:rPr>
      </w:pPr>
      <w:r w:rsidRPr="00143F4E">
        <w:rPr>
          <w:color w:val="262626" w:themeColor="text1" w:themeTint="D9"/>
          <w:sz w:val="20"/>
        </w:rPr>
        <w:t xml:space="preserve">For </w:t>
      </w:r>
      <w:proofErr w:type="gramStart"/>
      <w:r w:rsidRPr="00CE3DEA">
        <w:rPr>
          <w:color w:val="262626" w:themeColor="text1" w:themeTint="D9"/>
          <w:sz w:val="20"/>
          <w:u w:val="single"/>
        </w:rPr>
        <w:t>ice makers</w:t>
      </w:r>
      <w:proofErr w:type="gramEnd"/>
      <w:r w:rsidRPr="00143F4E">
        <w:rPr>
          <w:color w:val="262626" w:themeColor="text1" w:themeTint="D9"/>
          <w:sz w:val="20"/>
        </w:rPr>
        <w:t xml:space="preserve"> most information and standards are from countries outside the EU. </w:t>
      </w:r>
      <w:r w:rsidR="00225BBC">
        <w:rPr>
          <w:color w:val="262626" w:themeColor="text1" w:themeTint="D9"/>
          <w:sz w:val="20"/>
        </w:rPr>
        <w:t xml:space="preserve">In Europe, </w:t>
      </w:r>
      <w:r w:rsidRPr="00143F4E">
        <w:rPr>
          <w:color w:val="262626" w:themeColor="text1" w:themeTint="D9"/>
          <w:sz w:val="20"/>
        </w:rPr>
        <w:t xml:space="preserve">Switzerland has produced most information at policy level. It shows that the energy use is </w:t>
      </w:r>
      <w:proofErr w:type="gramStart"/>
      <w:r w:rsidRPr="00143F4E">
        <w:rPr>
          <w:color w:val="262626" w:themeColor="text1" w:themeTint="D9"/>
          <w:sz w:val="20"/>
        </w:rPr>
        <w:t>not insignificant</w:t>
      </w:r>
      <w:proofErr w:type="gramEnd"/>
      <w:r w:rsidR="00225BBC">
        <w:rPr>
          <w:rStyle w:val="FootnoteReference"/>
          <w:color w:val="262626" w:themeColor="text1" w:themeTint="D9"/>
        </w:rPr>
        <w:footnoteReference w:id="46"/>
      </w:r>
      <w:r w:rsidRPr="00143F4E">
        <w:rPr>
          <w:color w:val="262626" w:themeColor="text1" w:themeTint="D9"/>
          <w:sz w:val="20"/>
        </w:rPr>
        <w:t xml:space="preserve">, but the preparation of measures in terms of measurement standards and co-operation of stakeholders require a considerable effort. It is proposed to include </w:t>
      </w:r>
      <w:proofErr w:type="gramStart"/>
      <w:r w:rsidR="00A60EAA">
        <w:rPr>
          <w:color w:val="262626" w:themeColor="text1" w:themeTint="D9"/>
          <w:sz w:val="20"/>
        </w:rPr>
        <w:t>ice makers</w:t>
      </w:r>
      <w:proofErr w:type="gramEnd"/>
      <w:r w:rsidR="00A60EAA">
        <w:rPr>
          <w:color w:val="262626" w:themeColor="text1" w:themeTint="D9"/>
          <w:sz w:val="20"/>
        </w:rPr>
        <w:t xml:space="preserve"> </w:t>
      </w:r>
      <w:r w:rsidRPr="00143F4E">
        <w:rPr>
          <w:color w:val="262626" w:themeColor="text1" w:themeTint="D9"/>
          <w:sz w:val="20"/>
        </w:rPr>
        <w:t xml:space="preserve">in the review clause. </w:t>
      </w:r>
    </w:p>
    <w:p w14:paraId="4C54448C" w14:textId="1E2E78DD" w:rsidR="00E450CF" w:rsidRDefault="00E450CF" w:rsidP="00E450CF">
      <w:pPr>
        <w:pStyle w:val="Body"/>
        <w:spacing w:line="276" w:lineRule="auto"/>
        <w:jc w:val="both"/>
        <w:rPr>
          <w:color w:val="262626" w:themeColor="text1" w:themeTint="D9"/>
          <w:sz w:val="20"/>
        </w:rPr>
      </w:pPr>
      <w:r w:rsidRPr="00C57D4B">
        <w:rPr>
          <w:color w:val="262626" w:themeColor="text1" w:themeTint="D9"/>
          <w:sz w:val="20"/>
          <w:u w:val="single"/>
        </w:rPr>
        <w:t>Refrigerator-freezers</w:t>
      </w:r>
      <w:r w:rsidRPr="00C57D4B">
        <w:rPr>
          <w:color w:val="262626" w:themeColor="text1" w:themeTint="D9"/>
          <w:sz w:val="20"/>
        </w:rPr>
        <w:t xml:space="preserve"> are rare in the professional appliances sector and no EN/ISO test standards </w:t>
      </w:r>
      <w:r>
        <w:rPr>
          <w:color w:val="262626" w:themeColor="text1" w:themeTint="D9"/>
          <w:sz w:val="20"/>
        </w:rPr>
        <w:t>cover them</w:t>
      </w:r>
      <w:r w:rsidRPr="00C57D4B">
        <w:rPr>
          <w:color w:val="262626" w:themeColor="text1" w:themeTint="D9"/>
          <w:sz w:val="20"/>
        </w:rPr>
        <w:t xml:space="preserve"> and would need to </w:t>
      </w:r>
      <w:proofErr w:type="gramStart"/>
      <w:r w:rsidRPr="00C57D4B">
        <w:rPr>
          <w:color w:val="262626" w:themeColor="text1" w:themeTint="D9"/>
          <w:sz w:val="20"/>
        </w:rPr>
        <w:t>be developed</w:t>
      </w:r>
      <w:proofErr w:type="gramEnd"/>
      <w:r w:rsidRPr="00C57D4B">
        <w:rPr>
          <w:color w:val="262626" w:themeColor="text1" w:themeTint="D9"/>
          <w:sz w:val="20"/>
        </w:rPr>
        <w:t xml:space="preserve"> to include these products. Overall, with a single exception, there was no support from stakeholders </w:t>
      </w:r>
      <w:r>
        <w:rPr>
          <w:color w:val="262626" w:themeColor="text1" w:themeTint="D9"/>
          <w:sz w:val="20"/>
        </w:rPr>
        <w:t xml:space="preserve">nor compelling evidence </w:t>
      </w:r>
      <w:r w:rsidRPr="00C57D4B">
        <w:rPr>
          <w:color w:val="262626" w:themeColor="text1" w:themeTint="D9"/>
          <w:sz w:val="20"/>
        </w:rPr>
        <w:t xml:space="preserve">to include them in the scope. </w:t>
      </w:r>
    </w:p>
    <w:p w14:paraId="21C71781" w14:textId="5162587E" w:rsidR="00E450CF" w:rsidRPr="00C57D4B" w:rsidRDefault="00E450CF" w:rsidP="00E450CF">
      <w:pPr>
        <w:pStyle w:val="Body"/>
        <w:spacing w:line="276" w:lineRule="auto"/>
        <w:jc w:val="both"/>
        <w:rPr>
          <w:color w:val="262626" w:themeColor="text1" w:themeTint="D9"/>
          <w:sz w:val="20"/>
        </w:rPr>
      </w:pPr>
      <w:r w:rsidRPr="00CE3DEA">
        <w:rPr>
          <w:color w:val="262626" w:themeColor="text1" w:themeTint="D9"/>
          <w:sz w:val="20"/>
          <w:u w:val="single"/>
        </w:rPr>
        <w:t>Static refrigerated containers</w:t>
      </w:r>
      <w:r w:rsidRPr="00C57D4B">
        <w:rPr>
          <w:color w:val="262626" w:themeColor="text1" w:themeTint="D9"/>
          <w:sz w:val="20"/>
        </w:rPr>
        <w:t xml:space="preserve"> are a very small EU market of a few hundred units a year</w:t>
      </w:r>
      <w:r>
        <w:rPr>
          <w:color w:val="262626" w:themeColor="text1" w:themeTint="D9"/>
          <w:sz w:val="20"/>
        </w:rPr>
        <w:t xml:space="preserve"> and</w:t>
      </w:r>
      <w:r w:rsidRPr="00C57D4B">
        <w:rPr>
          <w:color w:val="262626" w:themeColor="text1" w:themeTint="D9"/>
          <w:sz w:val="20"/>
        </w:rPr>
        <w:t xml:space="preserve"> preparing measures would not be proportional. </w:t>
      </w:r>
    </w:p>
    <w:p w14:paraId="729A9215" w14:textId="3172F261" w:rsidR="000C0B91" w:rsidRPr="00C57D4B" w:rsidRDefault="000C0B91" w:rsidP="00CE3DEA">
      <w:pPr>
        <w:pStyle w:val="Heading2"/>
        <w:tabs>
          <w:tab w:val="clear" w:pos="1712"/>
        </w:tabs>
      </w:pPr>
      <w:r w:rsidRPr="00C57D4B">
        <w:t>Preliminary impact assessment</w:t>
      </w:r>
    </w:p>
    <w:p w14:paraId="50D8C4A8" w14:textId="09C7E00B" w:rsidR="00BC2755" w:rsidRPr="00C57D4B" w:rsidRDefault="005D3340" w:rsidP="0047247A">
      <w:pPr>
        <w:spacing w:line="276" w:lineRule="auto"/>
        <w:rPr>
          <w:rFonts w:ascii="Verdana" w:hAnsi="Verdana"/>
          <w:iCs/>
          <w:color w:val="262626" w:themeColor="text1" w:themeTint="D9"/>
          <w:sz w:val="20"/>
        </w:rPr>
      </w:pPr>
      <w:r w:rsidRPr="00C57D4B">
        <w:rPr>
          <w:rFonts w:ascii="Verdana" w:hAnsi="Verdana"/>
          <w:iCs/>
          <w:color w:val="262626" w:themeColor="text1" w:themeTint="D9"/>
          <w:sz w:val="20"/>
        </w:rPr>
        <w:t>Overall, it can be expected that the proposed measures will lead to an extra energy saving (compared to BAU) of about 15-18</w:t>
      </w:r>
      <w:r w:rsidR="005109A6">
        <w:rPr>
          <w:rFonts w:ascii="Verdana" w:hAnsi="Verdana"/>
          <w:iCs/>
          <w:color w:val="262626" w:themeColor="text1" w:themeTint="D9"/>
          <w:sz w:val="20"/>
        </w:rPr>
        <w:t xml:space="preserve"> </w:t>
      </w:r>
      <w:r w:rsidRPr="00C57D4B">
        <w:rPr>
          <w:rFonts w:ascii="Verdana" w:hAnsi="Verdana"/>
          <w:iCs/>
          <w:color w:val="262626" w:themeColor="text1" w:themeTint="D9"/>
          <w:sz w:val="20"/>
        </w:rPr>
        <w:t xml:space="preserve">% over the 12 years after entry into force. The GHG abatement will be in the same order of magnitude. </w:t>
      </w:r>
      <w:proofErr w:type="gramStart"/>
      <w:r w:rsidRPr="00C57D4B">
        <w:rPr>
          <w:rFonts w:ascii="Verdana" w:hAnsi="Verdana"/>
          <w:iCs/>
          <w:color w:val="262626" w:themeColor="text1" w:themeTint="D9"/>
          <w:sz w:val="20"/>
        </w:rPr>
        <w:t>More specific indications</w:t>
      </w:r>
      <w:proofErr w:type="gramEnd"/>
      <w:r w:rsidRPr="00C57D4B">
        <w:rPr>
          <w:rFonts w:ascii="Verdana" w:hAnsi="Verdana"/>
          <w:iCs/>
          <w:color w:val="262626" w:themeColor="text1" w:themeTint="D9"/>
          <w:sz w:val="20"/>
        </w:rPr>
        <w:t xml:space="preserve"> will be given in the final review study report. </w:t>
      </w:r>
    </w:p>
    <w:p w14:paraId="340E56BD" w14:textId="21C93900" w:rsidR="00C20711" w:rsidRPr="00C57D4B" w:rsidRDefault="00C20711" w:rsidP="00C57D4B">
      <w:pPr>
        <w:pStyle w:val="ManualHeading1"/>
        <w:spacing w:line="276" w:lineRule="auto"/>
        <w:rPr>
          <w:rFonts w:ascii="Verdana" w:hAnsi="Verdana"/>
          <w:color w:val="262626" w:themeColor="text1" w:themeTint="D9"/>
          <w:szCs w:val="24"/>
        </w:rPr>
      </w:pPr>
      <w:r w:rsidRPr="00C57D4B">
        <w:rPr>
          <w:rFonts w:ascii="Verdana" w:hAnsi="Verdana"/>
          <w:color w:val="262626" w:themeColor="text1" w:themeTint="D9"/>
        </w:rPr>
        <w:t xml:space="preserve">4. </w:t>
      </w:r>
      <w:r w:rsidR="00596F93">
        <w:rPr>
          <w:rFonts w:ascii="Verdana" w:hAnsi="Verdana"/>
          <w:color w:val="262626" w:themeColor="text1" w:themeTint="D9"/>
        </w:rPr>
        <w:tab/>
      </w:r>
      <w:r w:rsidR="003A0335" w:rsidRPr="00C57D4B">
        <w:rPr>
          <w:rFonts w:ascii="Verdana" w:hAnsi="Verdana"/>
          <w:color w:val="262626" w:themeColor="text1" w:themeTint="D9"/>
        </w:rPr>
        <w:t>Budgetary</w:t>
      </w:r>
      <w:r w:rsidRPr="00C57D4B">
        <w:rPr>
          <w:rFonts w:ascii="Verdana" w:hAnsi="Verdana"/>
          <w:color w:val="262626" w:themeColor="text1" w:themeTint="D9"/>
        </w:rPr>
        <w:t xml:space="preserve"> implications</w:t>
      </w:r>
    </w:p>
    <w:p w14:paraId="6133593A" w14:textId="7C377598" w:rsidR="00E747FE" w:rsidRPr="00C57D4B" w:rsidRDefault="00C20711" w:rsidP="0047247A">
      <w:pPr>
        <w:spacing w:line="276" w:lineRule="auto"/>
        <w:rPr>
          <w:rFonts w:ascii="Verdana" w:hAnsi="Verdana"/>
          <w:iCs/>
          <w:color w:val="262626" w:themeColor="text1" w:themeTint="D9"/>
          <w:sz w:val="20"/>
        </w:rPr>
      </w:pPr>
      <w:r w:rsidRPr="00C57D4B">
        <w:rPr>
          <w:rFonts w:ascii="Verdana" w:hAnsi="Verdana"/>
          <w:iCs/>
          <w:color w:val="262626" w:themeColor="text1" w:themeTint="D9"/>
          <w:sz w:val="20"/>
        </w:rPr>
        <w:t xml:space="preserve">The legal format of Commission (Delegated) Regulations does not require transpositions into national legislation, saving administrative costs at Member State level. Development, operation, maintenance and IT security of the EPREL database at EU level as well as EU support for the enforcement by the national MSA's and miscellaneous reporting activities will require resources. </w:t>
      </w:r>
      <w:bookmarkStart w:id="4" w:name="DQCErrorScopeB409116C31714D898F583B39F86"/>
    </w:p>
    <w:bookmarkEnd w:id="4"/>
    <w:p w14:paraId="44BF507D" w14:textId="4D9F2DCC" w:rsidR="0077107D" w:rsidRPr="00C57D4B" w:rsidRDefault="0077107D" w:rsidP="0077107D">
      <w:pPr>
        <w:pStyle w:val="ManualHeading1"/>
        <w:rPr>
          <w:rFonts w:ascii="Verdana" w:hAnsi="Verdana"/>
          <w:color w:val="262626" w:themeColor="text1" w:themeTint="D9"/>
        </w:rPr>
      </w:pPr>
      <w:r w:rsidRPr="00C57D4B">
        <w:rPr>
          <w:rFonts w:ascii="Verdana" w:hAnsi="Verdana"/>
          <w:color w:val="262626" w:themeColor="text1" w:themeTint="D9"/>
        </w:rPr>
        <w:lastRenderedPageBreak/>
        <w:t>5.</w:t>
      </w:r>
      <w:r w:rsidR="00C20711" w:rsidRPr="00C57D4B">
        <w:rPr>
          <w:rFonts w:ascii="Verdana" w:hAnsi="Verdana"/>
          <w:color w:val="262626" w:themeColor="text1" w:themeTint="D9"/>
        </w:rPr>
        <w:t xml:space="preserve"> </w:t>
      </w:r>
      <w:r w:rsidR="00596F93">
        <w:rPr>
          <w:rFonts w:ascii="Verdana" w:hAnsi="Verdana"/>
          <w:color w:val="262626" w:themeColor="text1" w:themeTint="D9"/>
        </w:rPr>
        <w:tab/>
      </w:r>
      <w:r w:rsidR="00C20711" w:rsidRPr="00C57D4B">
        <w:rPr>
          <w:rFonts w:ascii="Verdana" w:hAnsi="Verdana"/>
          <w:color w:val="262626" w:themeColor="text1" w:themeTint="D9"/>
        </w:rPr>
        <w:t>A</w:t>
      </w:r>
      <w:r w:rsidRPr="00C57D4B">
        <w:rPr>
          <w:rFonts w:ascii="Verdana" w:hAnsi="Verdana"/>
          <w:color w:val="262626" w:themeColor="text1" w:themeTint="D9"/>
        </w:rPr>
        <w:t>dditional information</w:t>
      </w:r>
    </w:p>
    <w:p w14:paraId="49E6A836" w14:textId="060E267D" w:rsidR="0077107D" w:rsidRPr="00C57D4B" w:rsidRDefault="00C20711" w:rsidP="0077107D">
      <w:pPr>
        <w:rPr>
          <w:rFonts w:ascii="Verdana" w:hAnsi="Verdana"/>
          <w:bCs/>
          <w:color w:val="262626" w:themeColor="text1" w:themeTint="D9"/>
          <w:sz w:val="20"/>
        </w:rPr>
      </w:pPr>
      <w:r w:rsidRPr="00C57D4B">
        <w:rPr>
          <w:rFonts w:ascii="Verdana" w:hAnsi="Verdana"/>
          <w:bCs/>
          <w:color w:val="262626" w:themeColor="text1" w:themeTint="D9"/>
          <w:sz w:val="20"/>
        </w:rPr>
        <w:t xml:space="preserve">Note that this review concerns secondary acts, which follow the subsidiarity and proportionality report in the primary act. A specific discussion of these two aspects is not required. </w:t>
      </w:r>
    </w:p>
    <w:p w14:paraId="1B571759" w14:textId="221B9F1C" w:rsidR="00105150" w:rsidRPr="00C57D4B" w:rsidRDefault="0077107D" w:rsidP="00C57D4B">
      <w:pPr>
        <w:spacing w:after="200" w:line="276" w:lineRule="auto"/>
        <w:jc w:val="left"/>
        <w:rPr>
          <w:rFonts w:ascii="Verdana" w:hAnsi="Verdana"/>
          <w:color w:val="262626" w:themeColor="text1" w:themeTint="D9"/>
          <w:sz w:val="20"/>
        </w:rPr>
      </w:pPr>
      <w:proofErr w:type="gramStart"/>
      <w:r w:rsidRPr="00C57D4B">
        <w:rPr>
          <w:rFonts w:ascii="Verdana" w:hAnsi="Verdana"/>
          <w:bCs/>
          <w:color w:val="262626" w:themeColor="text1" w:themeTint="D9"/>
          <w:sz w:val="20"/>
        </w:rPr>
        <w:t>The proposed Regulation concerns an EEA matter and should therefore extend to the European Economic Area.</w:t>
      </w:r>
      <w:proofErr w:type="gramEnd"/>
    </w:p>
    <w:sectPr w:rsidR="00105150" w:rsidRPr="00C57D4B" w:rsidSect="00C57D4B">
      <w:headerReference w:type="first" r:id="rId26"/>
      <w:footerReference w:type="first" r:id="rId27"/>
      <w:pgSz w:w="11907" w:h="16839" w:code="9"/>
      <w:pgMar w:top="1135" w:right="1418" w:bottom="737" w:left="1418" w:header="567" w:footer="595"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3ACC66" w14:textId="77777777" w:rsidR="00B1217E" w:rsidRDefault="00B1217E">
      <w:r>
        <w:separator/>
      </w:r>
    </w:p>
  </w:endnote>
  <w:endnote w:type="continuationSeparator" w:id="0">
    <w:p w14:paraId="62CD1BD1" w14:textId="77777777" w:rsidR="00B1217E" w:rsidRDefault="00B12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8805593"/>
      <w:docPartObj>
        <w:docPartGallery w:val="Page Numbers (Bottom of Page)"/>
        <w:docPartUnique/>
      </w:docPartObj>
    </w:sdtPr>
    <w:sdtEndPr>
      <w:rPr>
        <w:rFonts w:ascii="Verdana" w:hAnsi="Verdana"/>
        <w:noProof/>
        <w:color w:val="262626" w:themeColor="text1" w:themeTint="D9"/>
        <w:sz w:val="20"/>
      </w:rPr>
    </w:sdtEndPr>
    <w:sdtContent>
      <w:p w14:paraId="550F260B" w14:textId="346F0F25" w:rsidR="00624C8B" w:rsidRPr="00CE3DEA" w:rsidRDefault="00624C8B">
        <w:pPr>
          <w:pStyle w:val="Footer"/>
          <w:jc w:val="right"/>
          <w:rPr>
            <w:rFonts w:ascii="Verdana" w:hAnsi="Verdana"/>
            <w:color w:val="262626" w:themeColor="text1" w:themeTint="D9"/>
            <w:sz w:val="20"/>
          </w:rPr>
        </w:pPr>
        <w:r w:rsidRPr="00CE3DEA">
          <w:rPr>
            <w:rFonts w:ascii="Verdana" w:hAnsi="Verdana"/>
            <w:color w:val="262626" w:themeColor="text1" w:themeTint="D9"/>
            <w:sz w:val="20"/>
          </w:rPr>
          <w:fldChar w:fldCharType="begin"/>
        </w:r>
        <w:r w:rsidRPr="00CE3DEA">
          <w:rPr>
            <w:rFonts w:ascii="Verdana" w:hAnsi="Verdana"/>
            <w:color w:val="262626" w:themeColor="text1" w:themeTint="D9"/>
            <w:sz w:val="20"/>
          </w:rPr>
          <w:instrText xml:space="preserve"> PAGE   \* MERGEFORMAT </w:instrText>
        </w:r>
        <w:r w:rsidRPr="00CE3DEA">
          <w:rPr>
            <w:rFonts w:ascii="Verdana" w:hAnsi="Verdana"/>
            <w:color w:val="262626" w:themeColor="text1" w:themeTint="D9"/>
            <w:sz w:val="20"/>
          </w:rPr>
          <w:fldChar w:fldCharType="separate"/>
        </w:r>
        <w:r w:rsidR="00FD0F67">
          <w:rPr>
            <w:rFonts w:ascii="Verdana" w:hAnsi="Verdana"/>
            <w:noProof/>
            <w:color w:val="262626" w:themeColor="text1" w:themeTint="D9"/>
            <w:sz w:val="20"/>
          </w:rPr>
          <w:t>20</w:t>
        </w:r>
        <w:r w:rsidRPr="00CE3DEA">
          <w:rPr>
            <w:rFonts w:ascii="Verdana" w:hAnsi="Verdana"/>
            <w:noProof/>
            <w:color w:val="262626" w:themeColor="text1" w:themeTint="D9"/>
            <w:sz w:val="20"/>
          </w:rPr>
          <w:fldChar w:fldCharType="end"/>
        </w:r>
      </w:p>
    </w:sdtContent>
  </w:sdt>
  <w:p w14:paraId="2E61ECE6" w14:textId="6A58D830" w:rsidR="00453C38" w:rsidRPr="00453C38" w:rsidRDefault="00453C38" w:rsidP="00453C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240D4" w14:textId="77777777" w:rsidR="005F07B8" w:rsidRPr="006B26AA" w:rsidRDefault="005F07B8" w:rsidP="006B26A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12D79F" w14:textId="77777777" w:rsidR="00B1217E" w:rsidRDefault="00B1217E">
      <w:r>
        <w:separator/>
      </w:r>
    </w:p>
  </w:footnote>
  <w:footnote w:type="continuationSeparator" w:id="0">
    <w:p w14:paraId="308E7CF4" w14:textId="77777777" w:rsidR="00B1217E" w:rsidRDefault="00B1217E">
      <w:r>
        <w:continuationSeparator/>
      </w:r>
    </w:p>
  </w:footnote>
  <w:footnote w:id="1">
    <w:p w14:paraId="46657B26" w14:textId="77777777" w:rsidR="00F06B43" w:rsidRPr="00CE3DEA" w:rsidRDefault="00F06B43" w:rsidP="00CE3DEA">
      <w:pPr>
        <w:pStyle w:val="FootnoteText"/>
        <w:ind w:left="0" w:firstLine="0"/>
        <w:jc w:val="left"/>
        <w:rPr>
          <w:color w:val="262626" w:themeColor="text1" w:themeTint="D9"/>
        </w:rPr>
      </w:pPr>
      <w:r w:rsidRPr="00596F93">
        <w:rPr>
          <w:rStyle w:val="FootnoteReference"/>
          <w:color w:val="262626" w:themeColor="text1" w:themeTint="D9"/>
        </w:rPr>
        <w:footnoteRef/>
      </w:r>
      <w:r w:rsidRPr="00CE3DEA">
        <w:rPr>
          <w:color w:val="262626" w:themeColor="text1" w:themeTint="D9"/>
        </w:rPr>
        <w:t xml:space="preserve"> </w:t>
      </w:r>
      <w:hyperlink r:id="rId1" w:history="1">
        <w:r w:rsidRPr="00596F93">
          <w:rPr>
            <w:rStyle w:val="Hyperlink"/>
            <w:color w:val="262626" w:themeColor="text1" w:themeTint="D9"/>
          </w:rPr>
          <w:t>Commission Regulation (EU) 2015/1095 of 5 May 2015 implementing Directive 2009/125/EC of the European Parliament and of the Council with regard to ecodesign requirements for professional refrigerated storage cabinets, blast cabinets, condensing units and process chillers, OJ L 177, 8.7.2015, p. 19–51</w:t>
        </w:r>
      </w:hyperlink>
    </w:p>
  </w:footnote>
  <w:footnote w:id="2">
    <w:p w14:paraId="59E3C903" w14:textId="0C51E203" w:rsidR="00F06B43" w:rsidRPr="00CE3DEA" w:rsidRDefault="00F06B43" w:rsidP="00CE3DEA">
      <w:pPr>
        <w:pStyle w:val="FootnoteText"/>
        <w:ind w:left="0" w:firstLine="0"/>
        <w:jc w:val="left"/>
        <w:rPr>
          <w:color w:val="262626" w:themeColor="text1" w:themeTint="D9"/>
        </w:rPr>
      </w:pPr>
      <w:r w:rsidRPr="00596F93">
        <w:rPr>
          <w:rStyle w:val="FootnoteReference"/>
          <w:color w:val="262626" w:themeColor="text1" w:themeTint="D9"/>
        </w:rPr>
        <w:footnoteRef/>
      </w:r>
      <w:r w:rsidRPr="00CE3DEA">
        <w:rPr>
          <w:color w:val="262626" w:themeColor="text1" w:themeTint="D9"/>
        </w:rPr>
        <w:t xml:space="preserve"> </w:t>
      </w:r>
      <w:hyperlink r:id="rId2" w:history="1">
        <w:r w:rsidR="00DF6DE5" w:rsidRPr="00596F93">
          <w:rPr>
            <w:rStyle w:val="Hyperlink"/>
            <w:color w:val="262626" w:themeColor="text1" w:themeTint="D9"/>
          </w:rPr>
          <w:t>Commission Delegated Regulation (EU) 2015/1094 of 5 May 2015 supplementing Directive 2010/30/EU of the European Parliament and of the Council with regard to the energy labelling of professional refrigerated storage cabinets, OJ L 177, 8.7.2015, p. 2–18</w:t>
        </w:r>
      </w:hyperlink>
    </w:p>
  </w:footnote>
  <w:footnote w:id="3">
    <w:p w14:paraId="391B8D35" w14:textId="1AED0B3F" w:rsidR="000F1A0A" w:rsidRPr="00CE3DEA" w:rsidRDefault="000F1A0A" w:rsidP="00CE3DEA">
      <w:pPr>
        <w:pStyle w:val="FootnoteText"/>
        <w:ind w:left="0" w:firstLine="0"/>
        <w:jc w:val="left"/>
        <w:rPr>
          <w:color w:val="262626" w:themeColor="text1" w:themeTint="D9"/>
        </w:rPr>
      </w:pPr>
      <w:r w:rsidRPr="00596F93">
        <w:rPr>
          <w:rStyle w:val="FootnoteReference"/>
          <w:color w:val="262626" w:themeColor="text1" w:themeTint="D9"/>
        </w:rPr>
        <w:footnoteRef/>
      </w:r>
      <w:r w:rsidRPr="00CE3DEA">
        <w:rPr>
          <w:color w:val="262626" w:themeColor="text1" w:themeTint="D9"/>
        </w:rPr>
        <w:t xml:space="preserve"> </w:t>
      </w:r>
      <w:hyperlink r:id="rId3" w:history="1">
        <w:r w:rsidRPr="00596F93">
          <w:rPr>
            <w:rStyle w:val="Hyperlink"/>
            <w:color w:val="262626" w:themeColor="text1" w:themeTint="D9"/>
            <w:sz w:val="16"/>
            <w:szCs w:val="16"/>
          </w:rPr>
          <w:t xml:space="preserve">The European Green Deal, </w:t>
        </w:r>
        <w:proofErr w:type="gramStart"/>
        <w:r w:rsidRPr="00596F93">
          <w:rPr>
            <w:rStyle w:val="Hyperlink"/>
            <w:color w:val="262626" w:themeColor="text1" w:themeTint="D9"/>
            <w:sz w:val="16"/>
            <w:szCs w:val="16"/>
          </w:rPr>
          <w:t>COM(</w:t>
        </w:r>
        <w:proofErr w:type="gramEnd"/>
        <w:r w:rsidRPr="00596F93">
          <w:rPr>
            <w:rStyle w:val="Hyperlink"/>
            <w:color w:val="262626" w:themeColor="text1" w:themeTint="D9"/>
            <w:sz w:val="16"/>
            <w:szCs w:val="16"/>
          </w:rPr>
          <w:t>2019) 640 final.</w:t>
        </w:r>
      </w:hyperlink>
      <w:r w:rsidRPr="00CE3DEA">
        <w:rPr>
          <w:color w:val="262626" w:themeColor="text1" w:themeTint="D9"/>
        </w:rPr>
        <w:t xml:space="preserve"> </w:t>
      </w:r>
    </w:p>
  </w:footnote>
  <w:footnote w:id="4">
    <w:p w14:paraId="7A8AC0D4" w14:textId="171EE86C" w:rsidR="000F1A0A" w:rsidRPr="00CE3DEA" w:rsidRDefault="000F1A0A" w:rsidP="00CE3DEA">
      <w:pPr>
        <w:pStyle w:val="FootnoteText"/>
        <w:ind w:left="0" w:firstLine="0"/>
        <w:jc w:val="left"/>
        <w:rPr>
          <w:color w:val="262626" w:themeColor="text1" w:themeTint="D9"/>
        </w:rPr>
      </w:pPr>
      <w:r w:rsidRPr="00596F93">
        <w:rPr>
          <w:rStyle w:val="FootnoteReference"/>
          <w:color w:val="262626" w:themeColor="text1" w:themeTint="D9"/>
        </w:rPr>
        <w:footnoteRef/>
      </w:r>
      <w:r w:rsidRPr="00CE3DEA">
        <w:rPr>
          <w:color w:val="262626" w:themeColor="text1" w:themeTint="D9"/>
        </w:rPr>
        <w:t xml:space="preserve"> </w:t>
      </w:r>
      <w:hyperlink r:id="rId4" w:history="1">
        <w:r w:rsidRPr="00596F93">
          <w:rPr>
            <w:rStyle w:val="Hyperlink"/>
            <w:color w:val="262626" w:themeColor="text1" w:themeTint="D9"/>
            <w:sz w:val="16"/>
            <w:szCs w:val="16"/>
          </w:rPr>
          <w:t>Transforming our world: the 2030 Agenda for Sustainable Development.</w:t>
        </w:r>
      </w:hyperlink>
      <w:r w:rsidRPr="00CE3DEA">
        <w:rPr>
          <w:color w:val="262626" w:themeColor="text1" w:themeTint="D9"/>
        </w:rPr>
        <w:t xml:space="preserve"> </w:t>
      </w:r>
    </w:p>
  </w:footnote>
  <w:footnote w:id="5">
    <w:p w14:paraId="43C96DF1" w14:textId="527CB665" w:rsidR="000F1A0A" w:rsidRPr="00CE3DEA" w:rsidRDefault="000F1A0A" w:rsidP="00CE3DEA">
      <w:pPr>
        <w:pStyle w:val="FootnoteText"/>
        <w:ind w:left="0" w:firstLine="0"/>
        <w:jc w:val="left"/>
        <w:rPr>
          <w:color w:val="262626" w:themeColor="text1" w:themeTint="D9"/>
        </w:rPr>
      </w:pPr>
      <w:r w:rsidRPr="00596F93">
        <w:rPr>
          <w:rStyle w:val="FootnoteReference"/>
          <w:color w:val="262626" w:themeColor="text1" w:themeTint="D9"/>
        </w:rPr>
        <w:footnoteRef/>
      </w:r>
      <w:r w:rsidRPr="00CE3DEA">
        <w:rPr>
          <w:color w:val="262626" w:themeColor="text1" w:themeTint="D9"/>
        </w:rPr>
        <w:t xml:space="preserve"> </w:t>
      </w:r>
      <w:hyperlink r:id="rId5" w:history="1">
        <w:r w:rsidRPr="00CE3DEA">
          <w:rPr>
            <w:rStyle w:val="Hyperlink"/>
            <w:color w:val="262626" w:themeColor="text1" w:themeTint="D9"/>
          </w:rPr>
          <w:t>Stepping up Europe’s 2030 climate ambition. Investing in a climate-neutral future for the benefit of our people</w:t>
        </w:r>
        <w:r w:rsidR="00113E5D" w:rsidRPr="00CE3DEA">
          <w:rPr>
            <w:rStyle w:val="Hyperlink"/>
            <w:color w:val="262626" w:themeColor="text1" w:themeTint="D9"/>
          </w:rPr>
          <w:t xml:space="preserve">, </w:t>
        </w:r>
        <w:r w:rsidRPr="00CE3DEA">
          <w:rPr>
            <w:rStyle w:val="Hyperlink"/>
            <w:color w:val="262626" w:themeColor="text1" w:themeTint="D9"/>
          </w:rPr>
          <w:t>COM/2020/562 final</w:t>
        </w:r>
      </w:hyperlink>
      <w:r w:rsidR="00113E5D" w:rsidRPr="00CE3DEA">
        <w:rPr>
          <w:color w:val="262626" w:themeColor="text1" w:themeTint="D9"/>
        </w:rPr>
        <w:t>.</w:t>
      </w:r>
    </w:p>
  </w:footnote>
  <w:footnote w:id="6">
    <w:p w14:paraId="5FE8C39E" w14:textId="52956D8F" w:rsidR="000F1A0A" w:rsidRPr="00CE3DEA" w:rsidRDefault="000F1A0A" w:rsidP="00CE3DEA">
      <w:pPr>
        <w:pStyle w:val="FootnoteText"/>
        <w:ind w:left="0" w:firstLine="0"/>
        <w:jc w:val="left"/>
        <w:rPr>
          <w:color w:val="262626" w:themeColor="text1" w:themeTint="D9"/>
        </w:rPr>
      </w:pPr>
      <w:r w:rsidRPr="00596F93">
        <w:rPr>
          <w:rStyle w:val="FootnoteReference"/>
          <w:color w:val="262626" w:themeColor="text1" w:themeTint="D9"/>
        </w:rPr>
        <w:footnoteRef/>
      </w:r>
      <w:r w:rsidRPr="00CE3DEA">
        <w:rPr>
          <w:color w:val="262626" w:themeColor="text1" w:themeTint="D9"/>
        </w:rPr>
        <w:t xml:space="preserve">  </w:t>
      </w:r>
      <w:hyperlink r:id="rId6" w:history="1">
        <w:r w:rsidRPr="00596F93">
          <w:rPr>
            <w:rStyle w:val="Hyperlink"/>
            <w:color w:val="262626" w:themeColor="text1" w:themeTint="D9"/>
            <w:sz w:val="16"/>
            <w:szCs w:val="16"/>
          </w:rPr>
          <w:t xml:space="preserve">‘Fit for 55’: delivering the EU’s 2030 Climate Target on the way to climate neutrality, </w:t>
        </w:r>
        <w:proofErr w:type="gramStart"/>
        <w:r w:rsidRPr="00596F93">
          <w:rPr>
            <w:rStyle w:val="Hyperlink"/>
            <w:color w:val="262626" w:themeColor="text1" w:themeTint="D9"/>
            <w:sz w:val="16"/>
            <w:szCs w:val="16"/>
          </w:rPr>
          <w:t>COM(</w:t>
        </w:r>
        <w:proofErr w:type="gramEnd"/>
        <w:r w:rsidRPr="00596F93">
          <w:rPr>
            <w:rStyle w:val="Hyperlink"/>
            <w:color w:val="262626" w:themeColor="text1" w:themeTint="D9"/>
            <w:sz w:val="16"/>
            <w:szCs w:val="16"/>
          </w:rPr>
          <w:t>2021) 550 final</w:t>
        </w:r>
        <w:r w:rsidR="009F6645" w:rsidRPr="00596F93">
          <w:rPr>
            <w:rStyle w:val="Hyperlink"/>
            <w:color w:val="262626" w:themeColor="text1" w:themeTint="D9"/>
            <w:sz w:val="16"/>
            <w:szCs w:val="16"/>
          </w:rPr>
          <w:t>.</w:t>
        </w:r>
      </w:hyperlink>
      <w:r w:rsidR="009F6645" w:rsidRPr="00CE3DEA">
        <w:rPr>
          <w:color w:val="262626" w:themeColor="text1" w:themeTint="D9"/>
        </w:rPr>
        <w:t xml:space="preserve"> </w:t>
      </w:r>
    </w:p>
  </w:footnote>
  <w:footnote w:id="7">
    <w:p w14:paraId="7222515E" w14:textId="3ABD936F" w:rsidR="009F6645" w:rsidRPr="00CE3DEA" w:rsidRDefault="009F6645" w:rsidP="00CE3DEA">
      <w:pPr>
        <w:pStyle w:val="FootnoteText"/>
        <w:ind w:left="0" w:firstLine="0"/>
        <w:jc w:val="left"/>
        <w:rPr>
          <w:color w:val="262626" w:themeColor="text1" w:themeTint="D9"/>
        </w:rPr>
      </w:pPr>
      <w:r w:rsidRPr="00596F93">
        <w:rPr>
          <w:rStyle w:val="FootnoteReference"/>
          <w:color w:val="262626" w:themeColor="text1" w:themeTint="D9"/>
        </w:rPr>
        <w:footnoteRef/>
      </w:r>
      <w:r w:rsidRPr="00CE3DEA">
        <w:rPr>
          <w:color w:val="262626" w:themeColor="text1" w:themeTint="D9"/>
        </w:rPr>
        <w:t xml:space="preserve"> </w:t>
      </w:r>
      <w:hyperlink r:id="rId7" w:history="1">
        <w:r w:rsidRPr="00596F93">
          <w:rPr>
            <w:rStyle w:val="Hyperlink"/>
            <w:color w:val="262626" w:themeColor="text1" w:themeTint="D9"/>
            <w:sz w:val="16"/>
            <w:szCs w:val="16"/>
          </w:rPr>
          <w:t xml:space="preserve">Circular Economy Action Plan for a more competitive Europe, </w:t>
        </w:r>
        <w:proofErr w:type="gramStart"/>
        <w:r w:rsidRPr="00596F93">
          <w:rPr>
            <w:rStyle w:val="Hyperlink"/>
            <w:color w:val="262626" w:themeColor="text1" w:themeTint="D9"/>
            <w:sz w:val="16"/>
            <w:szCs w:val="16"/>
          </w:rPr>
          <w:t>COM(</w:t>
        </w:r>
        <w:proofErr w:type="gramEnd"/>
        <w:r w:rsidRPr="00596F93">
          <w:rPr>
            <w:rStyle w:val="Hyperlink"/>
            <w:color w:val="262626" w:themeColor="text1" w:themeTint="D9"/>
            <w:sz w:val="16"/>
            <w:szCs w:val="16"/>
          </w:rPr>
          <w:t>2020) 98</w:t>
        </w:r>
      </w:hyperlink>
      <w:r w:rsidRPr="00CE3DEA">
        <w:rPr>
          <w:color w:val="262626" w:themeColor="text1" w:themeTint="D9"/>
        </w:rPr>
        <w:t xml:space="preserve">. </w:t>
      </w:r>
    </w:p>
  </w:footnote>
  <w:footnote w:id="8">
    <w:p w14:paraId="6424CEFF" w14:textId="160F39C1" w:rsidR="009F6645" w:rsidRPr="00CE3DEA" w:rsidRDefault="009F6645" w:rsidP="00CE3DEA">
      <w:pPr>
        <w:pStyle w:val="FootnoteText"/>
        <w:ind w:left="0" w:firstLine="0"/>
        <w:jc w:val="left"/>
        <w:rPr>
          <w:color w:val="404040" w:themeColor="text1" w:themeTint="BF"/>
        </w:rPr>
      </w:pPr>
      <w:r w:rsidRPr="00596F93">
        <w:rPr>
          <w:rStyle w:val="FootnoteReference"/>
          <w:color w:val="262626" w:themeColor="text1" w:themeTint="D9"/>
        </w:rPr>
        <w:footnoteRef/>
      </w:r>
      <w:r w:rsidRPr="00CE3DEA">
        <w:rPr>
          <w:color w:val="262626" w:themeColor="text1" w:themeTint="D9"/>
        </w:rPr>
        <w:t xml:space="preserve"> </w:t>
      </w:r>
      <w:hyperlink r:id="rId8" w:history="1">
        <w:r w:rsidRPr="00CE3DEA">
          <w:rPr>
            <w:rStyle w:val="Hyperlink"/>
            <w:color w:val="262626" w:themeColor="text1" w:themeTint="D9"/>
          </w:rPr>
          <w:t>Ecodesign and Energy Labelling Working Plan 2022-2024</w:t>
        </w:r>
        <w:r w:rsidR="00AF6C9E" w:rsidRPr="00CE3DEA">
          <w:rPr>
            <w:rStyle w:val="Hyperlink"/>
            <w:color w:val="262626" w:themeColor="text1" w:themeTint="D9"/>
          </w:rPr>
          <w:t>,</w:t>
        </w:r>
        <w:r w:rsidRPr="00CE3DEA">
          <w:rPr>
            <w:rStyle w:val="Hyperlink"/>
            <w:color w:val="262626" w:themeColor="text1" w:themeTint="D9"/>
          </w:rPr>
          <w:t xml:space="preserve"> </w:t>
        </w:r>
        <w:proofErr w:type="gramStart"/>
        <w:r w:rsidRPr="00CE3DEA">
          <w:rPr>
            <w:rStyle w:val="Hyperlink"/>
            <w:color w:val="262626" w:themeColor="text1" w:themeTint="D9"/>
          </w:rPr>
          <w:t>C(</w:t>
        </w:r>
        <w:proofErr w:type="gramEnd"/>
        <w:r w:rsidRPr="00CE3DEA">
          <w:rPr>
            <w:rStyle w:val="Hyperlink"/>
            <w:color w:val="262626" w:themeColor="text1" w:themeTint="D9"/>
          </w:rPr>
          <w:t>2022) 2026</w:t>
        </w:r>
        <w:r w:rsidR="00AF6C9E" w:rsidRPr="00CE3DEA">
          <w:rPr>
            <w:rStyle w:val="Hyperlink"/>
            <w:color w:val="262626" w:themeColor="text1" w:themeTint="D9"/>
          </w:rPr>
          <w:t>.</w:t>
        </w:r>
      </w:hyperlink>
    </w:p>
  </w:footnote>
  <w:footnote w:id="9">
    <w:p w14:paraId="6ABAC8E3" w14:textId="33EBC8CA" w:rsidR="00113E5D" w:rsidRPr="00CE3DEA" w:rsidRDefault="00113E5D" w:rsidP="00CE3DEA">
      <w:pPr>
        <w:pStyle w:val="FootnoteText"/>
        <w:jc w:val="left"/>
        <w:rPr>
          <w:color w:val="262626" w:themeColor="text1" w:themeTint="D9"/>
        </w:rPr>
      </w:pPr>
      <w:r w:rsidRPr="00CE3DEA">
        <w:rPr>
          <w:rStyle w:val="FootnoteReference"/>
          <w:color w:val="262626" w:themeColor="text1" w:themeTint="D9"/>
        </w:rPr>
        <w:footnoteRef/>
      </w:r>
      <w:r w:rsidRPr="00CE3DEA">
        <w:rPr>
          <w:color w:val="262626" w:themeColor="text1" w:themeTint="D9"/>
        </w:rPr>
        <w:t xml:space="preserve"> </w:t>
      </w:r>
      <w:hyperlink r:id="rId9" w:history="1">
        <w:r w:rsidRPr="00CE3DEA">
          <w:rPr>
            <w:rStyle w:val="Hyperlink"/>
            <w:color w:val="262626" w:themeColor="text1" w:themeTint="D9"/>
          </w:rPr>
          <w:t xml:space="preserve">REPowerEU Plan, </w:t>
        </w:r>
        <w:proofErr w:type="gramStart"/>
        <w:r w:rsidRPr="00CE3DEA">
          <w:rPr>
            <w:rStyle w:val="Hyperlink"/>
            <w:color w:val="262626" w:themeColor="text1" w:themeTint="D9"/>
          </w:rPr>
          <w:t>COM(</w:t>
        </w:r>
        <w:proofErr w:type="gramEnd"/>
        <w:r w:rsidRPr="00CE3DEA">
          <w:rPr>
            <w:rStyle w:val="Hyperlink"/>
            <w:color w:val="262626" w:themeColor="text1" w:themeTint="D9"/>
          </w:rPr>
          <w:t>2022) 230 final</w:t>
        </w:r>
      </w:hyperlink>
      <w:r w:rsidRPr="00CE3DEA">
        <w:rPr>
          <w:color w:val="262626" w:themeColor="text1" w:themeTint="D9"/>
        </w:rPr>
        <w:t>.</w:t>
      </w:r>
    </w:p>
  </w:footnote>
  <w:footnote w:id="10">
    <w:p w14:paraId="485AC116" w14:textId="3BDF624C" w:rsidR="00C664FD" w:rsidRPr="00CE3DEA" w:rsidRDefault="00C664FD" w:rsidP="00CE3DEA">
      <w:pPr>
        <w:pStyle w:val="FootnoteText"/>
        <w:ind w:left="0" w:firstLine="0"/>
        <w:jc w:val="left"/>
        <w:rPr>
          <w:color w:val="262626" w:themeColor="text1" w:themeTint="D9"/>
        </w:rPr>
      </w:pPr>
      <w:r w:rsidRPr="00596F93">
        <w:rPr>
          <w:rStyle w:val="FootnoteReference"/>
          <w:color w:val="262626" w:themeColor="text1" w:themeTint="D9"/>
        </w:rPr>
        <w:footnoteRef/>
      </w:r>
      <w:r w:rsidRPr="00CE3DEA">
        <w:rPr>
          <w:color w:val="262626" w:themeColor="text1" w:themeTint="D9"/>
        </w:rPr>
        <w:t xml:space="preserve"> </w:t>
      </w:r>
      <w:hyperlink r:id="rId10" w:history="1">
        <w:r w:rsidRPr="00CE3DEA">
          <w:rPr>
            <w:rStyle w:val="Hyperlink"/>
            <w:color w:val="262626" w:themeColor="text1" w:themeTint="D9"/>
          </w:rPr>
          <w:t>Directive 2009/125/EC of the European Parliament and of the Council of 21 October 2009 establishing a framework for the setting of ecodesign requirements for energy-related products</w:t>
        </w:r>
        <w:r w:rsidR="00113E5D" w:rsidRPr="00CE3DEA">
          <w:rPr>
            <w:rStyle w:val="Hyperlink"/>
            <w:color w:val="262626" w:themeColor="text1" w:themeTint="D9"/>
          </w:rPr>
          <w:t xml:space="preserve">. </w:t>
        </w:r>
        <w:r w:rsidRPr="00CE3DEA">
          <w:rPr>
            <w:rStyle w:val="Hyperlink"/>
            <w:color w:val="262626" w:themeColor="text1" w:themeTint="D9"/>
          </w:rPr>
          <w:t>OJ L 285, 31.10.2009, p.10</w:t>
        </w:r>
      </w:hyperlink>
      <w:r w:rsidR="00113E5D" w:rsidRPr="00CE3DEA">
        <w:rPr>
          <w:color w:val="262626" w:themeColor="text1" w:themeTint="D9"/>
        </w:rPr>
        <w:t>.</w:t>
      </w:r>
    </w:p>
  </w:footnote>
  <w:footnote w:id="11">
    <w:p w14:paraId="6DE272D8" w14:textId="09947C52" w:rsidR="000E3377" w:rsidRPr="00CE3DEA" w:rsidRDefault="000E3377" w:rsidP="00CE3DEA">
      <w:pPr>
        <w:pStyle w:val="FootnoteText"/>
        <w:ind w:left="0" w:firstLine="0"/>
        <w:jc w:val="left"/>
        <w:rPr>
          <w:color w:val="262626" w:themeColor="text1" w:themeTint="D9"/>
        </w:rPr>
      </w:pPr>
      <w:r w:rsidRPr="00596F93">
        <w:rPr>
          <w:rStyle w:val="FootnoteReference"/>
          <w:color w:val="262626" w:themeColor="text1" w:themeTint="D9"/>
        </w:rPr>
        <w:footnoteRef/>
      </w:r>
      <w:r w:rsidRPr="00CE3DEA">
        <w:rPr>
          <w:color w:val="262626" w:themeColor="text1" w:themeTint="D9"/>
        </w:rPr>
        <w:t xml:space="preserve"> </w:t>
      </w:r>
      <w:hyperlink r:id="rId11" w:history="1">
        <w:r w:rsidRPr="00596F93">
          <w:rPr>
            <w:rStyle w:val="Hyperlink"/>
            <w:color w:val="262626" w:themeColor="text1" w:themeTint="D9"/>
          </w:rPr>
          <w:t>Regulation (EU) 2017/1369 of the European Parliament and of the Council of 4 July 2017 setting a framework for energy labelling and repealing Directive 2010/30/EU. OJ L 198, 28.7.2017, p. 1–23</w:t>
        </w:r>
      </w:hyperlink>
      <w:r w:rsidR="00113E5D" w:rsidRPr="00CE3DEA">
        <w:rPr>
          <w:color w:val="262626" w:themeColor="text1" w:themeTint="D9"/>
        </w:rPr>
        <w:t>.</w:t>
      </w:r>
    </w:p>
  </w:footnote>
  <w:footnote w:id="12">
    <w:p w14:paraId="08608415" w14:textId="48BD1F7B" w:rsidR="00C664FD" w:rsidRPr="00CE3DEA" w:rsidRDefault="00C664FD" w:rsidP="00CE3DEA">
      <w:pPr>
        <w:pStyle w:val="FootnoteText"/>
        <w:ind w:left="0" w:firstLine="0"/>
        <w:jc w:val="left"/>
        <w:rPr>
          <w:color w:val="262626" w:themeColor="text1" w:themeTint="D9"/>
        </w:rPr>
      </w:pPr>
      <w:r w:rsidRPr="00596F93">
        <w:rPr>
          <w:rStyle w:val="FootnoteReference"/>
          <w:color w:val="262626" w:themeColor="text1" w:themeTint="D9"/>
        </w:rPr>
        <w:footnoteRef/>
      </w:r>
      <w:r w:rsidRPr="00596F93">
        <w:rPr>
          <w:rStyle w:val="FootnoteReference"/>
          <w:color w:val="262626" w:themeColor="text1" w:themeTint="D9"/>
        </w:rPr>
        <w:t xml:space="preserve"> </w:t>
      </w:r>
      <w:hyperlink r:id="rId12" w:history="1">
        <w:r w:rsidRPr="00596F93">
          <w:rPr>
            <w:rStyle w:val="Hyperlink"/>
            <w:bCs/>
            <w:color w:val="262626" w:themeColor="text1" w:themeTint="D9"/>
            <w:sz w:val="16"/>
            <w:szCs w:val="16"/>
          </w:rPr>
          <w:t>Special Eurobarometer 492. “Europeans’ attitudes on energy policy report. European Commission September 2019.</w:t>
        </w:r>
      </w:hyperlink>
      <w:r w:rsidRPr="00CE3DEA">
        <w:rPr>
          <w:color w:val="262626" w:themeColor="text1" w:themeTint="D9"/>
        </w:rPr>
        <w:t xml:space="preserve"> </w:t>
      </w:r>
    </w:p>
  </w:footnote>
  <w:footnote w:id="13">
    <w:p w14:paraId="17C35D52" w14:textId="7740C8D7" w:rsidR="00C664FD" w:rsidRPr="00C664FD" w:rsidRDefault="00C664FD" w:rsidP="00CE3DEA">
      <w:pPr>
        <w:pStyle w:val="FootnoteText"/>
        <w:ind w:left="0" w:firstLine="0"/>
        <w:jc w:val="left"/>
      </w:pPr>
      <w:r w:rsidRPr="00596F93">
        <w:rPr>
          <w:rStyle w:val="FootnoteReference"/>
          <w:color w:val="262626" w:themeColor="text1" w:themeTint="D9"/>
        </w:rPr>
        <w:footnoteRef/>
      </w:r>
      <w:r w:rsidRPr="00CE3DEA">
        <w:rPr>
          <w:color w:val="262626" w:themeColor="text1" w:themeTint="D9"/>
        </w:rPr>
        <w:t xml:space="preserve"> </w:t>
      </w:r>
      <w:hyperlink r:id="rId13" w:history="1">
        <w:r w:rsidRPr="00596F93">
          <w:rPr>
            <w:rStyle w:val="Hyperlink"/>
            <w:color w:val="262626" w:themeColor="text1" w:themeTint="D9"/>
            <w:sz w:val="16"/>
            <w:szCs w:val="16"/>
          </w:rPr>
          <w:t xml:space="preserve">Impacts of the EU’s Ecodesign and Energy/Tyre Labelling Legislation on Third Jurisdictions </w:t>
        </w:r>
        <w:r w:rsidRPr="00596F93">
          <w:rPr>
            <w:rStyle w:val="Hyperlink"/>
            <w:color w:val="262626" w:themeColor="text1" w:themeTint="D9"/>
            <w:sz w:val="16"/>
            <w:szCs w:val="16"/>
            <w:lang w:val="en-US"/>
          </w:rPr>
          <w:t>(Paul Waide et al. April 2014).</w:t>
        </w:r>
      </w:hyperlink>
      <w:r w:rsidRPr="00CE3DEA">
        <w:rPr>
          <w:color w:val="262626" w:themeColor="text1" w:themeTint="D9"/>
        </w:rPr>
        <w:t xml:space="preserve"> </w:t>
      </w:r>
    </w:p>
  </w:footnote>
  <w:footnote w:id="14">
    <w:p w14:paraId="118F8386" w14:textId="6A1F2AB3" w:rsidR="00FC6F38" w:rsidRPr="00FC6F38" w:rsidRDefault="00FC6F38" w:rsidP="00CE3DEA">
      <w:pPr>
        <w:pStyle w:val="FootnoteText"/>
        <w:ind w:left="0" w:firstLine="0"/>
        <w:jc w:val="left"/>
      </w:pPr>
      <w:r w:rsidRPr="00C57D4B">
        <w:rPr>
          <w:rStyle w:val="FootnoteReference"/>
          <w:color w:val="262626" w:themeColor="text1" w:themeTint="D9"/>
        </w:rPr>
        <w:footnoteRef/>
      </w:r>
      <w:r w:rsidRPr="005D3340">
        <w:t xml:space="preserve"> </w:t>
      </w:r>
      <w:hyperlink r:id="rId14" w:history="1">
        <w:r w:rsidRPr="00C57D4B">
          <w:rPr>
            <w:rStyle w:val="Hyperlink"/>
            <w:color w:val="262626" w:themeColor="text1" w:themeTint="D9"/>
          </w:rPr>
          <w:t>Commission Regulation (EU) 2016/2281 of 30 November 2016 implementing Directive 2009/125/EC of the European Parliament and of the Council establishing a framework for the setting of ecodesign requirements for energy-related products, with regard to ecodesign requirements for air heating products, cooling products, high temperature process chillers and fan coil units. OJ L 346, 20.12.2016, p. 1–50</w:t>
        </w:r>
      </w:hyperlink>
      <w:r>
        <w:t>.</w:t>
      </w:r>
    </w:p>
  </w:footnote>
  <w:footnote w:id="15">
    <w:p w14:paraId="1862FA76" w14:textId="03CACE63" w:rsidR="00126F4F" w:rsidRPr="00126F4F" w:rsidRDefault="00126F4F" w:rsidP="00CE3DEA">
      <w:pPr>
        <w:pStyle w:val="FootnoteText"/>
        <w:ind w:left="0" w:firstLine="0"/>
        <w:jc w:val="left"/>
      </w:pPr>
      <w:r>
        <w:rPr>
          <w:rStyle w:val="FootnoteReference"/>
        </w:rPr>
        <w:footnoteRef/>
      </w:r>
      <w:r>
        <w:t xml:space="preserve"> Note that this 2030 projection is based on data and trends that are pre-covid, pre-energy price soaring and pre-Ukraine conflict. Depending on the longer</w:t>
      </w:r>
      <w:r w:rsidR="00FB1DCB">
        <w:t>-</w:t>
      </w:r>
      <w:r>
        <w:t xml:space="preserve">term impact of these </w:t>
      </w:r>
      <w:proofErr w:type="gramStart"/>
      <w:r>
        <w:t>crises</w:t>
      </w:r>
      <w:proofErr w:type="gramEnd"/>
      <w:r>
        <w:t xml:space="preserve"> the outcome may be very different, either lower because acquisitions are postponed for lack of funds, or higher because the energy costs prompt an accelerated replacement of less efficient appliances. </w:t>
      </w:r>
    </w:p>
  </w:footnote>
  <w:footnote w:id="16">
    <w:p w14:paraId="182FE7EE" w14:textId="4D188594" w:rsidR="00972284" w:rsidRPr="00972284" w:rsidRDefault="00972284" w:rsidP="00CE3DEA">
      <w:pPr>
        <w:pStyle w:val="FootnoteText"/>
        <w:ind w:left="0" w:firstLine="0"/>
        <w:jc w:val="left"/>
      </w:pPr>
      <w:r>
        <w:rPr>
          <w:rStyle w:val="FootnoteReference"/>
        </w:rPr>
        <w:footnoteRef/>
      </w:r>
      <w:r>
        <w:t xml:space="preserve"> </w:t>
      </w:r>
      <w:r w:rsidR="00133CBC">
        <w:t>According to CBS the NL electricity consumption fluctuated between 110 and 115 TWh</w:t>
      </w:r>
      <w:r w:rsidR="0025325F">
        <w:t>/a</w:t>
      </w:r>
      <w:r w:rsidR="00133CBC">
        <w:t xml:space="preserve"> between 2010 and 2019. </w:t>
      </w:r>
      <w:r w:rsidRPr="00972284">
        <w:t>It also exceeds the electricity consumed by other ecodesign regulated refrigeration appliances for household refrigeratin</w:t>
      </w:r>
      <w:r w:rsidR="00FB1DCB">
        <w:t>g appliances</w:t>
      </w:r>
      <w:r w:rsidRPr="00972284">
        <w:t xml:space="preserve"> or refrigerati</w:t>
      </w:r>
      <w:r w:rsidR="00FB1DCB">
        <w:t xml:space="preserve">ng appliances </w:t>
      </w:r>
      <w:r w:rsidRPr="00972284">
        <w:t>with</w:t>
      </w:r>
      <w:r w:rsidR="00FB1DCB">
        <w:t xml:space="preserve"> </w:t>
      </w:r>
      <w:r w:rsidRPr="00972284">
        <w:t>a</w:t>
      </w:r>
      <w:r w:rsidR="00FB1DCB">
        <w:t xml:space="preserve"> </w:t>
      </w:r>
      <w:r w:rsidRPr="00972284">
        <w:t>direct</w:t>
      </w:r>
      <w:r w:rsidR="00FB1DCB">
        <w:t xml:space="preserve"> </w:t>
      </w:r>
      <w:r w:rsidRPr="00972284">
        <w:t>sales</w:t>
      </w:r>
      <w:r w:rsidR="00FB1DCB">
        <w:t xml:space="preserve"> </w:t>
      </w:r>
      <w:r w:rsidRPr="00972284">
        <w:t>function.</w:t>
      </w:r>
    </w:p>
  </w:footnote>
  <w:footnote w:id="17">
    <w:p w14:paraId="28ABAC41" w14:textId="6638A7A1" w:rsidR="003F39A6" w:rsidRPr="00CE3DEA" w:rsidRDefault="003F39A6" w:rsidP="00CE3DEA">
      <w:pPr>
        <w:pStyle w:val="FootnoteText"/>
        <w:ind w:left="0" w:firstLine="0"/>
        <w:jc w:val="left"/>
        <w:rPr>
          <w:color w:val="262626" w:themeColor="text1" w:themeTint="D9"/>
        </w:rPr>
      </w:pPr>
      <w:r w:rsidRPr="00CE3DEA">
        <w:rPr>
          <w:rStyle w:val="FootnoteReference"/>
          <w:color w:val="262626" w:themeColor="text1" w:themeTint="D9"/>
        </w:rPr>
        <w:footnoteRef/>
      </w:r>
      <w:r w:rsidRPr="00CE3DEA">
        <w:rPr>
          <w:color w:val="262626" w:themeColor="text1" w:themeTint="D9"/>
        </w:rPr>
        <w:t xml:space="preserve"> At PRIMES REFERENCE 2000 rates</w:t>
      </w:r>
      <w:r w:rsidR="00422F4F" w:rsidRPr="00CE3DEA">
        <w:rPr>
          <w:color w:val="262626" w:themeColor="text1" w:themeTint="D9"/>
        </w:rPr>
        <w:t xml:space="preserve"> for the tertiary and industry sector</w:t>
      </w:r>
      <w:r w:rsidR="00FB1DCB" w:rsidRPr="00CE3DEA">
        <w:rPr>
          <w:color w:val="262626" w:themeColor="text1" w:themeTint="D9"/>
        </w:rPr>
        <w:t>.</w:t>
      </w:r>
    </w:p>
  </w:footnote>
  <w:footnote w:id="18">
    <w:p w14:paraId="5B9A8E2C" w14:textId="671D2E5B" w:rsidR="00063EE3" w:rsidRPr="00596F93" w:rsidRDefault="00063EE3" w:rsidP="00CE3DEA">
      <w:pPr>
        <w:pStyle w:val="FootnoteText"/>
        <w:ind w:left="0" w:firstLine="0"/>
        <w:jc w:val="left"/>
        <w:rPr>
          <w:color w:val="262626" w:themeColor="text1" w:themeTint="D9"/>
        </w:rPr>
      </w:pPr>
      <w:r w:rsidRPr="00CE3DEA">
        <w:rPr>
          <w:rStyle w:val="FootnoteReference"/>
          <w:color w:val="262626" w:themeColor="text1" w:themeTint="D9"/>
        </w:rPr>
        <w:footnoteRef/>
      </w:r>
      <w:r w:rsidRPr="00CE3DEA">
        <w:rPr>
          <w:color w:val="262626" w:themeColor="text1" w:themeTint="D9"/>
        </w:rPr>
        <w:t xml:space="preserve"> Eurostat PRODCOM Exports, Imports, Production, Apparent Consumption of Refrigerating &amp; Freezing </w:t>
      </w:r>
      <w:r w:rsidRPr="00596F93">
        <w:rPr>
          <w:color w:val="262626" w:themeColor="text1" w:themeTint="D9"/>
        </w:rPr>
        <w:t>Equipment statistics EU27, 2018, in quantity and value (extract VHK 19.3.2021).</w:t>
      </w:r>
    </w:p>
  </w:footnote>
  <w:footnote w:id="19">
    <w:p w14:paraId="1EFFD201" w14:textId="77777777" w:rsidR="00440E62" w:rsidRPr="00CE3DEA" w:rsidRDefault="00440E62" w:rsidP="00CE3DEA">
      <w:pPr>
        <w:pStyle w:val="FootnoteText"/>
        <w:ind w:left="0" w:firstLine="0"/>
        <w:jc w:val="left"/>
        <w:rPr>
          <w:color w:val="262626" w:themeColor="text1" w:themeTint="D9"/>
          <w:szCs w:val="16"/>
        </w:rPr>
      </w:pPr>
      <w:r w:rsidRPr="00596F93">
        <w:rPr>
          <w:rStyle w:val="FootnoteReference"/>
          <w:color w:val="262626" w:themeColor="text1" w:themeTint="D9"/>
          <w:szCs w:val="16"/>
        </w:rPr>
        <w:footnoteRef/>
      </w:r>
      <w:r w:rsidRPr="00CE3DEA">
        <w:rPr>
          <w:color w:val="262626" w:themeColor="text1" w:themeTint="D9"/>
          <w:szCs w:val="16"/>
        </w:rPr>
        <w:t xml:space="preserve"> </w:t>
      </w:r>
      <w:hyperlink r:id="rId15" w:history="1">
        <w:r w:rsidRPr="00596F93">
          <w:rPr>
            <w:rStyle w:val="Hyperlink"/>
            <w:color w:val="262626" w:themeColor="text1" w:themeTint="D9"/>
            <w:szCs w:val="16"/>
          </w:rPr>
          <w:t>https://ec.europa.eu/growth/tools-databases/mandates/index.cfm?fuseaction=search.detail&amp;id=534</w:t>
        </w:r>
      </w:hyperlink>
      <w:r w:rsidRPr="00CE3DEA">
        <w:rPr>
          <w:color w:val="262626" w:themeColor="text1" w:themeTint="D9"/>
          <w:szCs w:val="16"/>
        </w:rPr>
        <w:t xml:space="preserve"> </w:t>
      </w:r>
    </w:p>
  </w:footnote>
  <w:footnote w:id="20">
    <w:p w14:paraId="3631F12A" w14:textId="762A66CD" w:rsidR="008E3BEA" w:rsidRPr="00CE3DEA" w:rsidRDefault="008E3BEA" w:rsidP="00CE3DEA">
      <w:pPr>
        <w:pStyle w:val="FootnoteText"/>
        <w:ind w:left="0" w:firstLine="0"/>
        <w:jc w:val="left"/>
        <w:rPr>
          <w:color w:val="262626" w:themeColor="text1" w:themeTint="D9"/>
        </w:rPr>
      </w:pPr>
      <w:r w:rsidRPr="00CE3DEA">
        <w:rPr>
          <w:rStyle w:val="FootnoteReference"/>
          <w:color w:val="262626" w:themeColor="text1" w:themeTint="D9"/>
        </w:rPr>
        <w:footnoteRef/>
      </w:r>
      <w:r w:rsidRPr="00CE3DEA">
        <w:rPr>
          <w:color w:val="262626" w:themeColor="text1" w:themeTint="D9"/>
        </w:rPr>
        <w:t xml:space="preserve"> Blast chillers and freezers cabinets for professional use - Classification, requirements and test conditions</w:t>
      </w:r>
      <w:r w:rsidR="00596F93">
        <w:rPr>
          <w:color w:val="262626" w:themeColor="text1" w:themeTint="D9"/>
        </w:rPr>
        <w:t>.</w:t>
      </w:r>
    </w:p>
  </w:footnote>
  <w:footnote w:id="21">
    <w:p w14:paraId="6478535E" w14:textId="17B13F95" w:rsidR="008E3BEA" w:rsidRPr="008E3BEA" w:rsidRDefault="008E3BEA" w:rsidP="00CE3DEA">
      <w:pPr>
        <w:pStyle w:val="FootnoteText"/>
        <w:ind w:left="0" w:firstLine="0"/>
        <w:jc w:val="left"/>
      </w:pPr>
      <w:r w:rsidRPr="00CE3DEA">
        <w:rPr>
          <w:rStyle w:val="FootnoteReference"/>
          <w:color w:val="262626" w:themeColor="text1" w:themeTint="D9"/>
        </w:rPr>
        <w:footnoteRef/>
      </w:r>
      <w:r w:rsidRPr="00CE3DEA">
        <w:rPr>
          <w:color w:val="262626" w:themeColor="text1" w:themeTint="D9"/>
        </w:rPr>
        <w:t xml:space="preserve"> Blast chillers and freezers cabinets for professional use. Classification, requirements and test conditions</w:t>
      </w:r>
      <w:r w:rsidR="00596F93">
        <w:rPr>
          <w:color w:val="262626" w:themeColor="text1" w:themeTint="D9"/>
        </w:rPr>
        <w:t>.</w:t>
      </w:r>
    </w:p>
  </w:footnote>
  <w:footnote w:id="22">
    <w:p w14:paraId="558A0985" w14:textId="65EAFEEB" w:rsidR="008E3BEA" w:rsidRPr="00CE3DEA" w:rsidRDefault="008E3BEA" w:rsidP="00CE3DEA">
      <w:pPr>
        <w:pStyle w:val="FootnoteText"/>
        <w:ind w:left="0" w:firstLine="0"/>
        <w:jc w:val="left"/>
        <w:rPr>
          <w:color w:val="262626" w:themeColor="text1" w:themeTint="D9"/>
        </w:rPr>
      </w:pPr>
      <w:r w:rsidRPr="00CE3DEA">
        <w:rPr>
          <w:rStyle w:val="FootnoteReference"/>
          <w:color w:val="262626" w:themeColor="text1" w:themeTint="D9"/>
        </w:rPr>
        <w:footnoteRef/>
      </w:r>
      <w:r w:rsidRPr="00CE3DEA">
        <w:rPr>
          <w:color w:val="262626" w:themeColor="text1" w:themeTint="D9"/>
        </w:rPr>
        <w:t xml:space="preserve"> Refrigerated storage cabinets and counters for professional use. Performance and energy consumption. Replaces EN 16825:2016+A1:2019</w:t>
      </w:r>
    </w:p>
  </w:footnote>
  <w:footnote w:id="23">
    <w:p w14:paraId="20CEDB45" w14:textId="78D386AF" w:rsidR="00D64217" w:rsidRPr="00CE3DEA" w:rsidRDefault="00D64217" w:rsidP="00CE3DEA">
      <w:pPr>
        <w:pStyle w:val="FootnoteText"/>
        <w:ind w:left="0" w:firstLine="0"/>
        <w:jc w:val="left"/>
        <w:rPr>
          <w:color w:val="262626" w:themeColor="text1" w:themeTint="D9"/>
        </w:rPr>
      </w:pPr>
      <w:r w:rsidRPr="00CE3DEA">
        <w:rPr>
          <w:rStyle w:val="FootnoteReference"/>
          <w:color w:val="262626" w:themeColor="text1" w:themeTint="D9"/>
        </w:rPr>
        <w:footnoteRef/>
      </w:r>
      <w:r w:rsidRPr="00CE3DEA">
        <w:rPr>
          <w:color w:val="262626" w:themeColor="text1" w:themeTint="D9"/>
        </w:rPr>
        <w:t xml:space="preserve"> Air conditioners, liquid chilling packages and heat pumps, with electrically driven compressors, for space heating and cooling, commercial and process cooling — Testing and rating at part load conditions and calculation of seasonal performance (CEN/TC 113/WG 7</w:t>
      </w:r>
      <w:r w:rsidR="00634581" w:rsidRPr="00CE3DEA">
        <w:rPr>
          <w:color w:val="262626" w:themeColor="text1" w:themeTint="D9"/>
        </w:rPr>
        <w:t>).</w:t>
      </w:r>
    </w:p>
  </w:footnote>
  <w:footnote w:id="24">
    <w:p w14:paraId="48FC647B" w14:textId="4D951226" w:rsidR="00634581" w:rsidRPr="00CE3DEA" w:rsidRDefault="00634581" w:rsidP="00CE3DEA">
      <w:pPr>
        <w:pStyle w:val="FootnoteText"/>
        <w:jc w:val="left"/>
        <w:rPr>
          <w:color w:val="262626" w:themeColor="text1" w:themeTint="D9"/>
        </w:rPr>
      </w:pPr>
      <w:r w:rsidRPr="00CE3DEA">
        <w:rPr>
          <w:rStyle w:val="FootnoteReference"/>
          <w:color w:val="262626" w:themeColor="text1" w:themeTint="D9"/>
        </w:rPr>
        <w:footnoteRef/>
      </w:r>
      <w:r w:rsidRPr="00CE3DEA">
        <w:rPr>
          <w:color w:val="262626" w:themeColor="text1" w:themeTint="D9"/>
        </w:rPr>
        <w:t xml:space="preserve"> Condensing units for refrigeration - Rating conditions, tolerances and presentation of manufacturer's performance data</w:t>
      </w:r>
      <w:r w:rsidR="00160BB1" w:rsidRPr="00CE3DEA">
        <w:rPr>
          <w:color w:val="262626" w:themeColor="text1" w:themeTint="D9"/>
        </w:rPr>
        <w:t>.</w:t>
      </w:r>
    </w:p>
  </w:footnote>
  <w:footnote w:id="25">
    <w:p w14:paraId="77BA01F6" w14:textId="20D6C8A4" w:rsidR="00694D59" w:rsidRPr="00F0040A" w:rsidRDefault="00694D59" w:rsidP="00694D59">
      <w:pPr>
        <w:pStyle w:val="FootnoteText"/>
        <w:jc w:val="left"/>
        <w:rPr>
          <w:color w:val="262626" w:themeColor="text1" w:themeTint="D9"/>
        </w:rPr>
      </w:pPr>
      <w:r w:rsidRPr="00F0040A">
        <w:rPr>
          <w:rStyle w:val="FootnoteReference"/>
          <w:color w:val="262626" w:themeColor="text1" w:themeTint="D9"/>
        </w:rPr>
        <w:footnoteRef/>
      </w:r>
      <w:r w:rsidRPr="00F0040A">
        <w:rPr>
          <w:color w:val="262626" w:themeColor="text1" w:themeTint="D9"/>
        </w:rPr>
        <w:t xml:space="preserve"> Refrigerators and freezers for the medical sector - Definitions, requirements, testing. </w:t>
      </w:r>
      <w:r w:rsidR="00933471">
        <w:rPr>
          <w:color w:val="262626" w:themeColor="text1" w:themeTint="D9"/>
        </w:rPr>
        <w:t>P</w:t>
      </w:r>
      <w:r w:rsidRPr="00F0040A">
        <w:rPr>
          <w:color w:val="262626" w:themeColor="text1" w:themeTint="D9"/>
        </w:rPr>
        <w:t xml:space="preserve">ublished </w:t>
      </w:r>
      <w:r w:rsidR="00933471">
        <w:rPr>
          <w:color w:val="262626" w:themeColor="text1" w:themeTint="D9"/>
        </w:rPr>
        <w:t xml:space="preserve">May </w:t>
      </w:r>
      <w:r w:rsidRPr="00F0040A">
        <w:rPr>
          <w:color w:val="262626" w:themeColor="text1" w:themeTint="D9"/>
        </w:rPr>
        <w:t>202</w:t>
      </w:r>
      <w:r w:rsidR="00933471">
        <w:rPr>
          <w:color w:val="262626" w:themeColor="text1" w:themeTint="D9"/>
        </w:rPr>
        <w:t>2</w:t>
      </w:r>
      <w:r w:rsidRPr="00F0040A">
        <w:rPr>
          <w:color w:val="262626" w:themeColor="text1" w:themeTint="D9"/>
        </w:rPr>
        <w:t>.</w:t>
      </w:r>
    </w:p>
  </w:footnote>
  <w:footnote w:id="26">
    <w:p w14:paraId="23E4DD32" w14:textId="3C518648" w:rsidR="00D64217" w:rsidRPr="00CE3DEA" w:rsidRDefault="00D64217" w:rsidP="00CE3DEA">
      <w:pPr>
        <w:pStyle w:val="FootnoteText"/>
        <w:ind w:left="0" w:firstLine="0"/>
        <w:jc w:val="left"/>
        <w:rPr>
          <w:color w:val="262626" w:themeColor="text1" w:themeTint="D9"/>
        </w:rPr>
      </w:pPr>
      <w:r w:rsidRPr="00CE3DEA">
        <w:rPr>
          <w:rStyle w:val="FootnoteReference"/>
          <w:color w:val="262626" w:themeColor="text1" w:themeTint="D9"/>
        </w:rPr>
        <w:footnoteRef/>
      </w:r>
      <w:r w:rsidRPr="00CE3DEA">
        <w:rPr>
          <w:color w:val="262626" w:themeColor="text1" w:themeTint="D9"/>
        </w:rPr>
        <w:t xml:space="preserve"> Series 1 freight containers — Specification and testing — Part 2: Thermal containers</w:t>
      </w:r>
      <w:r w:rsidR="00160BB1" w:rsidRPr="00CE3DEA">
        <w:rPr>
          <w:color w:val="262626" w:themeColor="text1" w:themeTint="D9"/>
        </w:rPr>
        <w:t>.</w:t>
      </w:r>
    </w:p>
  </w:footnote>
  <w:footnote w:id="27">
    <w:p w14:paraId="02E5E539" w14:textId="6FE49C6A" w:rsidR="00D64217" w:rsidRPr="00CE3DEA" w:rsidRDefault="00D64217" w:rsidP="00CE3DEA">
      <w:pPr>
        <w:pStyle w:val="FootnoteText"/>
        <w:ind w:left="0" w:firstLine="0"/>
        <w:jc w:val="left"/>
        <w:rPr>
          <w:color w:val="262626" w:themeColor="text1" w:themeTint="D9"/>
        </w:rPr>
      </w:pPr>
      <w:r w:rsidRPr="00CE3DEA">
        <w:rPr>
          <w:rStyle w:val="FootnoteReference"/>
          <w:color w:val="262626" w:themeColor="text1" w:themeTint="D9"/>
        </w:rPr>
        <w:footnoteRef/>
      </w:r>
      <w:r w:rsidRPr="00CE3DEA">
        <w:rPr>
          <w:color w:val="262626" w:themeColor="text1" w:themeTint="D9"/>
        </w:rPr>
        <w:t xml:space="preserve"> Series 1 freight containers — Classification, dimensions and ratings</w:t>
      </w:r>
      <w:r w:rsidR="00160BB1" w:rsidRPr="00CE3DEA">
        <w:rPr>
          <w:color w:val="262626" w:themeColor="text1" w:themeTint="D9"/>
        </w:rPr>
        <w:t>.</w:t>
      </w:r>
    </w:p>
  </w:footnote>
  <w:footnote w:id="28">
    <w:p w14:paraId="2AF41950" w14:textId="13F418E2" w:rsidR="00491C3D" w:rsidRPr="00CE3DEA" w:rsidRDefault="00491C3D" w:rsidP="00CE3DEA">
      <w:pPr>
        <w:pStyle w:val="FootnoteText"/>
        <w:ind w:left="0" w:firstLine="0"/>
        <w:jc w:val="left"/>
        <w:rPr>
          <w:color w:val="262626" w:themeColor="text1" w:themeTint="D9"/>
        </w:rPr>
      </w:pPr>
      <w:r w:rsidRPr="00CE3DEA">
        <w:rPr>
          <w:rStyle w:val="FootnoteReference"/>
          <w:color w:val="262626" w:themeColor="text1" w:themeTint="D9"/>
        </w:rPr>
        <w:footnoteRef/>
      </w:r>
      <w:r w:rsidRPr="00CE3DEA">
        <w:rPr>
          <w:color w:val="262626" w:themeColor="text1" w:themeTint="D9"/>
        </w:rPr>
        <w:t xml:space="preserve"> Ice makers for commercial use - Classification, requirements and test conditions</w:t>
      </w:r>
      <w:r w:rsidR="00160BB1" w:rsidRPr="00CE3DEA">
        <w:rPr>
          <w:color w:val="262626" w:themeColor="text1" w:themeTint="D9"/>
        </w:rPr>
        <w:t>.</w:t>
      </w:r>
    </w:p>
  </w:footnote>
  <w:footnote w:id="29">
    <w:p w14:paraId="77D19099" w14:textId="655BD195" w:rsidR="00491C3D" w:rsidRPr="00CE3DEA" w:rsidRDefault="00491C3D" w:rsidP="00CE3DEA">
      <w:pPr>
        <w:pStyle w:val="FootnoteText"/>
        <w:ind w:left="0" w:firstLine="0"/>
        <w:jc w:val="left"/>
        <w:rPr>
          <w:color w:val="262626" w:themeColor="text1" w:themeTint="D9"/>
        </w:rPr>
      </w:pPr>
      <w:r w:rsidRPr="00CE3DEA">
        <w:rPr>
          <w:rStyle w:val="FootnoteReference"/>
          <w:color w:val="262626" w:themeColor="text1" w:themeTint="D9"/>
        </w:rPr>
        <w:footnoteRef/>
      </w:r>
      <w:r w:rsidRPr="00CE3DEA">
        <w:rPr>
          <w:color w:val="262626" w:themeColor="text1" w:themeTint="D9"/>
        </w:rPr>
        <w:t xml:space="preserve"> Method of Testing Automatic Ice Makers</w:t>
      </w:r>
      <w:r w:rsidR="00160BB1" w:rsidRPr="00CE3DEA">
        <w:rPr>
          <w:color w:val="262626" w:themeColor="text1" w:themeTint="D9"/>
        </w:rPr>
        <w:t>.</w:t>
      </w:r>
    </w:p>
  </w:footnote>
  <w:footnote w:id="30">
    <w:p w14:paraId="769A0888" w14:textId="33F9B7CD" w:rsidR="00491C3D" w:rsidRPr="00CE3DEA" w:rsidRDefault="00491C3D" w:rsidP="00CE3DEA">
      <w:pPr>
        <w:pStyle w:val="FootnoteText"/>
        <w:ind w:left="0" w:firstLine="0"/>
        <w:jc w:val="left"/>
        <w:rPr>
          <w:color w:val="262626" w:themeColor="text1" w:themeTint="D9"/>
        </w:rPr>
      </w:pPr>
      <w:r w:rsidRPr="00CE3DEA">
        <w:rPr>
          <w:rStyle w:val="FootnoteReference"/>
          <w:color w:val="262626" w:themeColor="text1" w:themeTint="D9"/>
        </w:rPr>
        <w:footnoteRef/>
      </w:r>
      <w:r w:rsidRPr="00CE3DEA">
        <w:rPr>
          <w:color w:val="262626" w:themeColor="text1" w:themeTint="D9"/>
        </w:rPr>
        <w:t xml:space="preserve"> Performance rating of automatic commercial </w:t>
      </w:r>
      <w:proofErr w:type="gramStart"/>
      <w:r w:rsidRPr="00CE3DEA">
        <w:rPr>
          <w:color w:val="262626" w:themeColor="text1" w:themeTint="D9"/>
        </w:rPr>
        <w:t>ice-makers</w:t>
      </w:r>
      <w:proofErr w:type="gramEnd"/>
      <w:r w:rsidR="00160BB1" w:rsidRPr="00CE3DEA">
        <w:rPr>
          <w:color w:val="262626" w:themeColor="text1" w:themeTint="D9"/>
        </w:rPr>
        <w:t>.</w:t>
      </w:r>
    </w:p>
  </w:footnote>
  <w:footnote w:id="31">
    <w:p w14:paraId="3633315B" w14:textId="77777777" w:rsidR="001C23D1" w:rsidRPr="00CE3DEA" w:rsidRDefault="001C23D1" w:rsidP="00CE3DEA">
      <w:pPr>
        <w:pStyle w:val="FootnoteText"/>
        <w:ind w:left="0" w:firstLine="0"/>
        <w:jc w:val="left"/>
        <w:rPr>
          <w:color w:val="262626" w:themeColor="text1" w:themeTint="D9"/>
        </w:rPr>
      </w:pPr>
      <w:r w:rsidRPr="00CE3DEA">
        <w:rPr>
          <w:rStyle w:val="FootnoteReference"/>
          <w:color w:val="262626" w:themeColor="text1" w:themeTint="D9"/>
        </w:rPr>
        <w:footnoteRef/>
      </w:r>
      <w:r w:rsidRPr="00CE3DEA">
        <w:rPr>
          <w:color w:val="262626" w:themeColor="text1" w:themeTint="D9"/>
        </w:rPr>
        <w:t xml:space="preserve"> Contractor is a consortium led by VITO, also contract manager for this contract. Technical project lead is VHK, in collaboration with experts from Tait Consulting and the Wuppertal Institute for Climate, Environment and Energy. Review study for EC, DG GROW.</w:t>
      </w:r>
    </w:p>
  </w:footnote>
  <w:footnote w:id="32">
    <w:p w14:paraId="64F9482C" w14:textId="40C96D49" w:rsidR="001C23D1" w:rsidRPr="00073841" w:rsidRDefault="001C23D1" w:rsidP="00CE3DEA">
      <w:pPr>
        <w:pStyle w:val="FootnoteText"/>
        <w:ind w:left="0" w:firstLine="0"/>
        <w:jc w:val="left"/>
      </w:pPr>
      <w:r w:rsidRPr="00CE3DEA">
        <w:rPr>
          <w:rStyle w:val="FootnoteReference"/>
          <w:color w:val="262626" w:themeColor="text1" w:themeTint="D9"/>
        </w:rPr>
        <w:footnoteRef/>
      </w:r>
      <w:r w:rsidRPr="00CE3DEA">
        <w:rPr>
          <w:color w:val="262626" w:themeColor="text1" w:themeTint="D9"/>
        </w:rPr>
        <w:t xml:space="preserve"> </w:t>
      </w:r>
      <w:proofErr w:type="gramStart"/>
      <w:r w:rsidRPr="00CE3DEA">
        <w:rPr>
          <w:color w:val="262626" w:themeColor="text1" w:themeTint="D9"/>
        </w:rPr>
        <w:t>And</w:t>
      </w:r>
      <w:proofErr w:type="gramEnd"/>
      <w:r w:rsidRPr="00CE3DEA">
        <w:rPr>
          <w:color w:val="262626" w:themeColor="text1" w:themeTint="D9"/>
        </w:rPr>
        <w:t xml:space="preserve"> some specific issues regarding for instance standardisation, as</w:t>
      </w:r>
      <w:r w:rsidR="00AE6062" w:rsidRPr="00CE3DEA">
        <w:rPr>
          <w:color w:val="262626" w:themeColor="text1" w:themeTint="D9"/>
        </w:rPr>
        <w:t xml:space="preserve"> </w:t>
      </w:r>
      <w:r w:rsidRPr="00CE3DEA">
        <w:rPr>
          <w:color w:val="262626" w:themeColor="text1" w:themeTint="D9"/>
        </w:rPr>
        <w:t>identified by the Commission</w:t>
      </w:r>
      <w:r>
        <w:t>.</w:t>
      </w:r>
    </w:p>
  </w:footnote>
  <w:footnote w:id="33">
    <w:p w14:paraId="65533DD1" w14:textId="0D2D190D" w:rsidR="004E61E0" w:rsidRPr="00CE3DEA" w:rsidRDefault="004E61E0" w:rsidP="00CE3DEA">
      <w:pPr>
        <w:pStyle w:val="FootnoteText"/>
        <w:ind w:left="0" w:firstLine="0"/>
        <w:jc w:val="left"/>
        <w:rPr>
          <w:color w:val="0D0D0D" w:themeColor="text1" w:themeTint="F2"/>
        </w:rPr>
      </w:pPr>
      <w:r w:rsidRPr="00CE3DEA">
        <w:rPr>
          <w:rStyle w:val="FootnoteReference"/>
          <w:color w:val="0D0D0D" w:themeColor="text1" w:themeTint="F2"/>
        </w:rPr>
        <w:footnoteRef/>
      </w:r>
      <w:r w:rsidRPr="00CE3DEA">
        <w:rPr>
          <w:rStyle w:val="FootnoteReference"/>
          <w:color w:val="0D0D0D" w:themeColor="text1" w:themeTint="F2"/>
        </w:rPr>
        <w:t xml:space="preserve"> </w:t>
      </w:r>
      <w:r w:rsidRPr="00CE3DEA">
        <w:rPr>
          <w:color w:val="0D0D0D" w:themeColor="text1" w:themeTint="F2"/>
        </w:rPr>
        <w:t>EN 16825 versus the new EN ISO 22041+A1:2019</w:t>
      </w:r>
      <w:r w:rsidR="00160BB1" w:rsidRPr="00CE3DEA">
        <w:rPr>
          <w:color w:val="0D0D0D" w:themeColor="text1" w:themeTint="F2"/>
        </w:rPr>
        <w:t>.</w:t>
      </w:r>
    </w:p>
  </w:footnote>
  <w:footnote w:id="34">
    <w:p w14:paraId="13AF4A10" w14:textId="60E4B765" w:rsidR="004E61E0" w:rsidRPr="00CE3DEA" w:rsidRDefault="004E61E0" w:rsidP="00CE3DEA">
      <w:pPr>
        <w:pStyle w:val="FootnoteText"/>
        <w:ind w:left="0" w:firstLine="0"/>
        <w:jc w:val="left"/>
        <w:rPr>
          <w:color w:val="0D0D0D" w:themeColor="text1" w:themeTint="F2"/>
        </w:rPr>
      </w:pPr>
      <w:r w:rsidRPr="00CE3DEA">
        <w:rPr>
          <w:rStyle w:val="FootnoteReference"/>
          <w:color w:val="0D0D0D" w:themeColor="text1" w:themeTint="F2"/>
        </w:rPr>
        <w:footnoteRef/>
      </w:r>
      <w:r w:rsidRPr="00CE3DEA">
        <w:rPr>
          <w:color w:val="0D0D0D" w:themeColor="text1" w:themeTint="F2"/>
        </w:rPr>
        <w:t xml:space="preserve"> EN 17032:2018/A1:2019 versus the new EN ISO 22042</w:t>
      </w:r>
      <w:r w:rsidR="00160BB1" w:rsidRPr="00CE3DEA">
        <w:rPr>
          <w:color w:val="0D0D0D" w:themeColor="text1" w:themeTint="F2"/>
        </w:rPr>
        <w:t>:2021.</w:t>
      </w:r>
    </w:p>
  </w:footnote>
  <w:footnote w:id="35">
    <w:p w14:paraId="32B9011D" w14:textId="4BD2F504" w:rsidR="00561732" w:rsidRPr="007F1025" w:rsidRDefault="00561732" w:rsidP="00CE3DEA">
      <w:pPr>
        <w:pStyle w:val="FootnoteText"/>
        <w:ind w:left="0" w:firstLine="0"/>
        <w:jc w:val="left"/>
      </w:pPr>
      <w:r w:rsidRPr="00CE3DEA">
        <w:rPr>
          <w:rStyle w:val="FootnoteReference"/>
          <w:color w:val="0D0D0D" w:themeColor="text1" w:themeTint="F2"/>
        </w:rPr>
        <w:footnoteRef/>
      </w:r>
      <w:r w:rsidRPr="00CE3DEA">
        <w:rPr>
          <w:color w:val="0D0D0D" w:themeColor="text1" w:themeTint="F2"/>
        </w:rPr>
        <w:t xml:space="preserve"> </w:t>
      </w:r>
      <w:proofErr w:type="gramStart"/>
      <w:r w:rsidRPr="00CE3DEA">
        <w:rPr>
          <w:color w:val="0D0D0D" w:themeColor="text1" w:themeTint="F2"/>
        </w:rPr>
        <w:t>Or</w:t>
      </w:r>
      <w:proofErr w:type="gramEnd"/>
      <w:r w:rsidRPr="00CE3DEA">
        <w:rPr>
          <w:color w:val="0D0D0D" w:themeColor="text1" w:themeTint="F2"/>
        </w:rPr>
        <w:t xml:space="preserve"> variations of existing testing standards, such as EN 16825 or EN 22041</w:t>
      </w:r>
      <w:r w:rsidR="00160BB1" w:rsidRPr="00CE3DEA">
        <w:rPr>
          <w:color w:val="0D0D0D" w:themeColor="text1" w:themeTint="F2"/>
        </w:rPr>
        <w:t>.</w:t>
      </w:r>
    </w:p>
  </w:footnote>
  <w:footnote w:id="36">
    <w:p w14:paraId="5254DC7C" w14:textId="415C8697" w:rsidR="004418B6" w:rsidRPr="004418B6" w:rsidRDefault="004418B6" w:rsidP="00CE3DEA">
      <w:pPr>
        <w:pStyle w:val="FootnoteText"/>
        <w:ind w:left="0" w:firstLine="0"/>
        <w:jc w:val="left"/>
      </w:pPr>
      <w:r w:rsidRPr="00CE3DEA">
        <w:rPr>
          <w:rStyle w:val="FootnoteReference"/>
          <w:color w:val="262626" w:themeColor="text1" w:themeTint="D9"/>
        </w:rPr>
        <w:footnoteRef/>
      </w:r>
      <w:r w:rsidRPr="00CE3DEA">
        <w:rPr>
          <w:color w:val="262626" w:themeColor="text1" w:themeTint="D9"/>
        </w:rPr>
        <w:t xml:space="preserve"> EN 13215:2016+A1:2020 Condensing units for refrigeration - Rating conditions, tolerances and presentation of manufacturer's performance data</w:t>
      </w:r>
      <w:r w:rsidR="00596F93" w:rsidRPr="00CE3DEA">
        <w:rPr>
          <w:color w:val="262626" w:themeColor="text1" w:themeTint="D9"/>
        </w:rPr>
        <w:t>.</w:t>
      </w:r>
    </w:p>
  </w:footnote>
  <w:footnote w:id="37">
    <w:p w14:paraId="2D461F90" w14:textId="15A43416" w:rsidR="00C15E70" w:rsidRPr="00C15E70" w:rsidRDefault="00C15E70" w:rsidP="00CE3DEA">
      <w:pPr>
        <w:pStyle w:val="FootnoteText"/>
        <w:ind w:left="0" w:firstLine="0"/>
        <w:jc w:val="left"/>
      </w:pPr>
      <w:r w:rsidRPr="00CE3DEA">
        <w:rPr>
          <w:rStyle w:val="FootnoteReference"/>
          <w:color w:val="262626" w:themeColor="text1" w:themeTint="D9"/>
        </w:rPr>
        <w:footnoteRef/>
      </w:r>
      <w:r w:rsidRPr="00CE3DEA">
        <w:rPr>
          <w:color w:val="262626" w:themeColor="text1" w:themeTint="D9"/>
        </w:rPr>
        <w:t xml:space="preserve"> WG=Working Group, TC=Technical Committee. CEN and Cenelec are European </w:t>
      </w:r>
      <w:r w:rsidR="00C2637F" w:rsidRPr="00CE3DEA">
        <w:rPr>
          <w:color w:val="262626" w:themeColor="text1" w:themeTint="D9"/>
        </w:rPr>
        <w:t>s</w:t>
      </w:r>
      <w:r w:rsidRPr="00CE3DEA">
        <w:rPr>
          <w:color w:val="262626" w:themeColor="text1" w:themeTint="D9"/>
        </w:rPr>
        <w:t>tandardisation organisations.</w:t>
      </w:r>
    </w:p>
  </w:footnote>
  <w:footnote w:id="38">
    <w:p w14:paraId="75497236" w14:textId="77777777" w:rsidR="001566CF" w:rsidRDefault="001566CF" w:rsidP="001566CF">
      <w:pPr>
        <w:pStyle w:val="FootnoteText"/>
      </w:pPr>
      <w:r>
        <w:rPr>
          <w:rStyle w:val="FootnoteReference"/>
        </w:rPr>
        <w:footnoteRef/>
      </w:r>
      <w:r>
        <w:t xml:space="preserve"> Assuming that MEPS remain aligned with label classes – whilst not unprecedented, enforcement is harder and consumer understanding </w:t>
      </w:r>
      <w:proofErr w:type="gramStart"/>
      <w:r>
        <w:t>would be stretched</w:t>
      </w:r>
      <w:proofErr w:type="gramEnd"/>
      <w:r>
        <w:t>.</w:t>
      </w:r>
    </w:p>
  </w:footnote>
  <w:footnote w:id="39">
    <w:p w14:paraId="2ACA777E" w14:textId="576EF2AD" w:rsidR="00F6627E" w:rsidRPr="00F6627E" w:rsidRDefault="00F6627E" w:rsidP="00CE3DEA">
      <w:pPr>
        <w:pStyle w:val="FootnoteText"/>
        <w:ind w:left="0" w:firstLine="0"/>
        <w:jc w:val="left"/>
      </w:pPr>
      <w:r w:rsidRPr="00CE3DEA">
        <w:rPr>
          <w:rStyle w:val="FootnoteReference"/>
          <w:color w:val="262626" w:themeColor="text1" w:themeTint="D9"/>
        </w:rPr>
        <w:footnoteRef/>
      </w:r>
      <w:r w:rsidRPr="00CE3DEA">
        <w:rPr>
          <w:color w:val="262626" w:themeColor="text1" w:themeTint="D9"/>
        </w:rPr>
        <w:t xml:space="preserve"> </w:t>
      </w:r>
      <w:hyperlink r:id="rId16" w:history="1">
        <w:r w:rsidRPr="00CE3DEA">
          <w:rPr>
            <w:rStyle w:val="Hyperlink"/>
            <w:color w:val="262626" w:themeColor="text1" w:themeTint="D9"/>
          </w:rPr>
          <w:t>COM(2022) 150 final, Proposal for a Regulation of the European Parliament and of the Council on fluorinated greenhouse gases, amending Directive (EU) 2019/1937 and repealing Regulation (EU) No 517/2014, April 2022 (ANNEX I)</w:t>
        </w:r>
      </w:hyperlink>
      <w:r w:rsidR="00A113DE" w:rsidRPr="00CE3DEA">
        <w:rPr>
          <w:rStyle w:val="Hyperlink"/>
          <w:color w:val="262626" w:themeColor="text1" w:themeTint="D9"/>
        </w:rPr>
        <w:t>.</w:t>
      </w:r>
    </w:p>
  </w:footnote>
  <w:footnote w:id="40">
    <w:p w14:paraId="3F03D873" w14:textId="7DD1E2EB" w:rsidR="00F6627E" w:rsidRPr="00CE3DEA" w:rsidRDefault="00F6627E" w:rsidP="00CE3DEA">
      <w:pPr>
        <w:pStyle w:val="FootnoteText"/>
        <w:ind w:left="0" w:firstLine="0"/>
        <w:jc w:val="left"/>
        <w:rPr>
          <w:color w:val="262626" w:themeColor="text1" w:themeTint="D9"/>
        </w:rPr>
      </w:pPr>
      <w:r w:rsidRPr="00CE3DEA">
        <w:rPr>
          <w:rStyle w:val="FootnoteReference"/>
          <w:color w:val="262626" w:themeColor="text1" w:themeTint="D9"/>
        </w:rPr>
        <w:footnoteRef/>
      </w:r>
      <w:r w:rsidRPr="00CE3DEA">
        <w:rPr>
          <w:color w:val="262626" w:themeColor="text1" w:themeTint="D9"/>
        </w:rPr>
        <w:t xml:space="preserve"> </w:t>
      </w:r>
      <w:hyperlink r:id="rId17" w:history="1">
        <w:r w:rsidRPr="00CE3DEA">
          <w:rPr>
            <w:rStyle w:val="Hyperlink"/>
            <w:color w:val="262626" w:themeColor="text1" w:themeTint="D9"/>
          </w:rPr>
          <w:t>COMMISSION DELEGATED REGULATION (EU) 2020/1044 of 8 May 2020 supplementing Regulation (EU) 2018/1999 of the European Parliament and of the Council with regard to values for global warming potentials and the inventory guidelines and with regard to the Union inventory system and repealing Commission Delegated Regulation (EU) No 666/2014, OJ L 230, 17.7.2020, p. 1–6</w:t>
        </w:r>
      </w:hyperlink>
      <w:r w:rsidRPr="00CE3DEA">
        <w:rPr>
          <w:color w:val="262626" w:themeColor="text1" w:themeTint="D9"/>
        </w:rPr>
        <w:t xml:space="preserve"> </w:t>
      </w:r>
    </w:p>
  </w:footnote>
  <w:footnote w:id="41">
    <w:p w14:paraId="0203FBEC" w14:textId="2D75AE71" w:rsidR="003A0335" w:rsidRPr="00596F93" w:rsidRDefault="00C67716" w:rsidP="00CE3DEA">
      <w:pPr>
        <w:pStyle w:val="FootnoteText"/>
        <w:ind w:left="0" w:firstLine="0"/>
        <w:jc w:val="left"/>
        <w:rPr>
          <w:color w:val="262626" w:themeColor="text1" w:themeTint="D9"/>
        </w:rPr>
      </w:pPr>
      <w:r w:rsidRPr="00596F93">
        <w:rPr>
          <w:rStyle w:val="FootnoteReference"/>
          <w:color w:val="262626" w:themeColor="text1" w:themeTint="D9"/>
        </w:rPr>
        <w:footnoteRef/>
      </w:r>
      <w:r w:rsidRPr="00596F93">
        <w:rPr>
          <w:color w:val="262626" w:themeColor="text1" w:themeTint="D9"/>
        </w:rPr>
        <w:t xml:space="preserve"> </w:t>
      </w:r>
      <w:hyperlink r:id="rId18" w:history="1">
        <w:r w:rsidR="003A0335" w:rsidRPr="00596F93">
          <w:rPr>
            <w:rStyle w:val="Hyperlink"/>
            <w:color w:val="262626" w:themeColor="text1" w:themeTint="D9"/>
          </w:rPr>
          <w:t>Regulation (EU) 2019/2019 on ecodesign requirements for (household) refrigerating appliances.</w:t>
        </w:r>
      </w:hyperlink>
    </w:p>
    <w:p w14:paraId="67F62F7F" w14:textId="230C284A" w:rsidR="003A0335" w:rsidRPr="00596F93" w:rsidRDefault="00FD0F67" w:rsidP="00CE3DEA">
      <w:pPr>
        <w:pStyle w:val="FootnoteText"/>
        <w:ind w:left="0" w:firstLine="0"/>
        <w:jc w:val="left"/>
        <w:rPr>
          <w:color w:val="262626" w:themeColor="text1" w:themeTint="D9"/>
        </w:rPr>
      </w:pPr>
      <w:hyperlink r:id="rId19" w:history="1">
        <w:r w:rsidR="003A0335" w:rsidRPr="00596F93">
          <w:rPr>
            <w:rStyle w:val="Hyperlink"/>
            <w:color w:val="262626" w:themeColor="text1" w:themeTint="D9"/>
          </w:rPr>
          <w:t>Delegated Regulation (EU) 2019/2016 on energy labelling of refrigerating appliances</w:t>
        </w:r>
      </w:hyperlink>
    </w:p>
    <w:p w14:paraId="2774FB17" w14:textId="2E32954B" w:rsidR="003A0335" w:rsidRPr="00596F93" w:rsidRDefault="00FD0F67" w:rsidP="00CE3DEA">
      <w:pPr>
        <w:pStyle w:val="FootnoteText"/>
        <w:ind w:left="0" w:firstLine="0"/>
        <w:jc w:val="left"/>
        <w:rPr>
          <w:color w:val="262626" w:themeColor="text1" w:themeTint="D9"/>
        </w:rPr>
      </w:pPr>
      <w:hyperlink r:id="rId20" w:history="1">
        <w:r w:rsidR="003A0335" w:rsidRPr="00596F93">
          <w:rPr>
            <w:rStyle w:val="Hyperlink"/>
            <w:color w:val="262626" w:themeColor="text1" w:themeTint="D9"/>
          </w:rPr>
          <w:t>Regulation (EU) 2019/2024 on ecodesign requirements for refrigerating appliances with a direct sales function</w:t>
        </w:r>
      </w:hyperlink>
    </w:p>
    <w:p w14:paraId="782B01F0" w14:textId="7D36C6E1" w:rsidR="003A0335" w:rsidRPr="00596F93" w:rsidRDefault="00FD0F67" w:rsidP="00CE3DEA">
      <w:pPr>
        <w:pStyle w:val="FootnoteText"/>
        <w:ind w:left="0" w:firstLine="0"/>
        <w:jc w:val="left"/>
        <w:rPr>
          <w:color w:val="262626" w:themeColor="text1" w:themeTint="D9"/>
        </w:rPr>
      </w:pPr>
      <w:hyperlink r:id="rId21" w:history="1">
        <w:r w:rsidR="003A0335" w:rsidRPr="00596F93">
          <w:rPr>
            <w:rStyle w:val="Hyperlink"/>
            <w:color w:val="262626" w:themeColor="text1" w:themeTint="D9"/>
          </w:rPr>
          <w:t>Delegated Regulation (EU) 2019/2018 on energy labelling of refrigerating appliances with a direct sales function</w:t>
        </w:r>
      </w:hyperlink>
    </w:p>
    <w:p w14:paraId="6100958B" w14:textId="40B35D43" w:rsidR="00C67716" w:rsidRPr="00C67716" w:rsidRDefault="00C67716" w:rsidP="003A0335">
      <w:pPr>
        <w:pStyle w:val="FootnoteText"/>
      </w:pPr>
    </w:p>
  </w:footnote>
  <w:footnote w:id="42">
    <w:p w14:paraId="0A6C67F7" w14:textId="526E504A" w:rsidR="00C13FFF" w:rsidRPr="00CE3DEA" w:rsidRDefault="00C13FFF" w:rsidP="00CE3DEA">
      <w:pPr>
        <w:pStyle w:val="FootnoteText"/>
        <w:jc w:val="left"/>
        <w:rPr>
          <w:color w:val="262626" w:themeColor="text1" w:themeTint="D9"/>
        </w:rPr>
      </w:pPr>
      <w:r w:rsidRPr="00CE3DEA">
        <w:rPr>
          <w:rStyle w:val="FootnoteReference"/>
          <w:sz w:val="17"/>
          <w:szCs w:val="17"/>
        </w:rPr>
        <w:footnoteRef/>
      </w:r>
      <w:r w:rsidRPr="00895231">
        <w:t xml:space="preserve"> </w:t>
      </w:r>
      <w:r w:rsidRPr="00CE3DEA">
        <w:rPr>
          <w:color w:val="262626" w:themeColor="text1" w:themeTint="D9"/>
        </w:rPr>
        <w:t xml:space="preserve">The EU accounts for around 23 % of the global market value for pharmaceuticals, from EFPIA data, available from: </w:t>
      </w:r>
      <w:hyperlink r:id="rId22" w:history="1">
        <w:r w:rsidRPr="00CE3DEA">
          <w:rPr>
            <w:rStyle w:val="Hyperlink"/>
            <w:color w:val="262626" w:themeColor="text1" w:themeTint="D9"/>
          </w:rPr>
          <w:t>https://efpia.eu/media/554521/efpia_pharmafigures_2020_web.pdf</w:t>
        </w:r>
      </w:hyperlink>
      <w:r w:rsidRPr="00CE3DEA">
        <w:rPr>
          <w:color w:val="262626" w:themeColor="text1" w:themeTint="D9"/>
        </w:rPr>
        <w:t xml:space="preserve">. </w:t>
      </w:r>
    </w:p>
  </w:footnote>
  <w:footnote w:id="43">
    <w:p w14:paraId="7BDD16F7" w14:textId="77777777" w:rsidR="00C13FFF" w:rsidRPr="00CE3DEA" w:rsidRDefault="00C13FFF" w:rsidP="00CE3DEA">
      <w:pPr>
        <w:pStyle w:val="FootnoteText"/>
        <w:jc w:val="left"/>
        <w:rPr>
          <w:color w:val="262626" w:themeColor="text1" w:themeTint="D9"/>
          <w:sz w:val="16"/>
          <w:szCs w:val="16"/>
        </w:rPr>
      </w:pPr>
      <w:r w:rsidRPr="00CE3DEA">
        <w:rPr>
          <w:rStyle w:val="FootnoteReference"/>
          <w:color w:val="262626" w:themeColor="text1" w:themeTint="D9"/>
          <w:sz w:val="17"/>
          <w:szCs w:val="17"/>
        </w:rPr>
        <w:footnoteRef/>
      </w:r>
      <w:r w:rsidRPr="00CE3DEA">
        <w:rPr>
          <w:color w:val="262626" w:themeColor="text1" w:themeTint="D9"/>
        </w:rPr>
        <w:t xml:space="preserve"> Plug load test for ULT Freezers: 20-22 % lower energy consumption at -70 ºC compared to -80 ºC, University of Copenhagen, </w:t>
      </w:r>
      <w:hyperlink r:id="rId23" w:history="1">
        <w:r w:rsidRPr="00CE3DEA">
          <w:rPr>
            <w:rStyle w:val="Hyperlink"/>
            <w:color w:val="262626" w:themeColor="text1" w:themeTint="D9"/>
          </w:rPr>
          <w:t>https://baeredygtighed2030.ku.dk/pdf/freezer_test.pdf/</w:t>
        </w:r>
      </w:hyperlink>
      <w:r w:rsidRPr="00CE3DEA">
        <w:rPr>
          <w:rStyle w:val="Hyperlink"/>
          <w:color w:val="262626" w:themeColor="text1" w:themeTint="D9"/>
        </w:rPr>
        <w:t>.</w:t>
      </w:r>
      <w:r w:rsidRPr="00CE3DEA">
        <w:rPr>
          <w:rStyle w:val="Hyperlink"/>
          <w:color w:val="262626" w:themeColor="text1" w:themeTint="D9"/>
          <w:sz w:val="16"/>
          <w:szCs w:val="16"/>
        </w:rPr>
        <w:t xml:space="preserve"> </w:t>
      </w:r>
    </w:p>
  </w:footnote>
  <w:footnote w:id="44">
    <w:p w14:paraId="74CAEB87" w14:textId="1952B693" w:rsidR="00225BBC" w:rsidRPr="0071333A" w:rsidRDefault="00225BBC" w:rsidP="00225BBC">
      <w:pPr>
        <w:pStyle w:val="FootnoteText"/>
      </w:pPr>
      <w:r>
        <w:rPr>
          <w:rStyle w:val="FootnoteReference"/>
        </w:rPr>
        <w:footnoteRef/>
      </w:r>
      <w:r>
        <w:t xml:space="preserve"> This is also the reason why there are energy labels for the professional refrigeration cabinets and direct sales refrigeration appliances. </w:t>
      </w:r>
    </w:p>
  </w:footnote>
  <w:footnote w:id="45">
    <w:p w14:paraId="50D10DFD" w14:textId="79CF692A" w:rsidR="00C13FFF" w:rsidRDefault="00C13FFF" w:rsidP="00CE3DEA">
      <w:pPr>
        <w:pStyle w:val="FootnoteText"/>
        <w:jc w:val="left"/>
      </w:pPr>
      <w:r>
        <w:rPr>
          <w:rStyle w:val="FootnoteReference"/>
        </w:rPr>
        <w:footnoteRef/>
      </w:r>
      <w:r>
        <w:t xml:space="preserve"> </w:t>
      </w:r>
      <w:hyperlink r:id="rId24" w:history="1">
        <w:r w:rsidRPr="00CE3DEA">
          <w:rPr>
            <w:rStyle w:val="Hyperlink"/>
            <w:color w:val="262626" w:themeColor="text1" w:themeTint="D9"/>
          </w:rPr>
          <w:t>Regulation (EU) No 517/2014 of the European Parliament and of the Council of 16 April 2014 on fluorinated greenhouse gases and repealing Regulation (EC) No 842/2006. OJ L 150, 20.5.2014, p. 195–230.</w:t>
        </w:r>
      </w:hyperlink>
    </w:p>
  </w:footnote>
  <w:footnote w:id="46">
    <w:p w14:paraId="081CA02E" w14:textId="3E51E946" w:rsidR="00225BBC" w:rsidRDefault="00225BBC">
      <w:pPr>
        <w:pStyle w:val="FootnoteText"/>
      </w:pPr>
      <w:r>
        <w:rPr>
          <w:rStyle w:val="FootnoteReference"/>
        </w:rPr>
        <w:footnoteRef/>
      </w:r>
      <w:r>
        <w:t xml:space="preserve"> Rough </w:t>
      </w:r>
      <w:r w:rsidRPr="001A2055">
        <w:t xml:space="preserve">estimate </w:t>
      </w:r>
      <w:r>
        <w:t xml:space="preserve">on the basis of data from </w:t>
      </w:r>
      <w:hyperlink r:id="rId25" w:history="1">
        <w:r w:rsidRPr="001A2055">
          <w:rPr>
            <w:rStyle w:val="Hyperlink"/>
          </w:rPr>
          <w:t>Swiss BFE S</w:t>
        </w:r>
        <w:r w:rsidRPr="00D67793">
          <w:rPr>
            <w:rStyle w:val="Hyperlink"/>
          </w:rPr>
          <w:t>tudy 2021</w:t>
        </w:r>
      </w:hyperlink>
      <w:r>
        <w:t>: 1.5 million EU stock, 80 kg ice/day, 365 days/year, 60% occupancy rate, 0.13 kWh/kg ice gives 3.4 TWh/year. Saving potential from expert interviews about 20 % gives 0.7 TWh/year.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BE4BE" w14:textId="77777777" w:rsidR="003A0335" w:rsidRDefault="003A0335" w:rsidP="00C57D4B">
    <w:pPr>
      <w:pStyle w:val="Header"/>
      <w:ind w:hanging="141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95332" w14:textId="791DBEC3" w:rsidR="005F07B8" w:rsidRPr="00623ED0" w:rsidRDefault="005F07B8" w:rsidP="00623ED0">
    <w:pPr>
      <w:pStyle w:val="Header"/>
      <w:tabs>
        <w:tab w:val="left" w:pos="7513"/>
      </w:tabs>
      <w:spacing w:after="0"/>
      <w:jc w:val="center"/>
      <w:rPr>
        <w:noProof/>
        <w:lang w:eastAsia="en-GB"/>
      </w:rPr>
    </w:pPr>
    <w:r>
      <w:rPr>
        <w:noProof/>
        <w:lang w:val="fr-BE" w:eastAsia="fr-BE"/>
      </w:rPr>
      <mc:AlternateContent>
        <mc:Choice Requires="wps">
          <w:drawing>
            <wp:anchor distT="0" distB="0" distL="114300" distR="114300" simplePos="0" relativeHeight="251657728" behindDoc="0" locked="0" layoutInCell="1" allowOverlap="1" wp14:anchorId="061DED0B" wp14:editId="7E727372">
              <wp:simplePos x="0" y="0"/>
              <wp:positionH relativeFrom="margin">
                <wp:posOffset>5830570</wp:posOffset>
              </wp:positionH>
              <wp:positionV relativeFrom="page">
                <wp:posOffset>138430</wp:posOffset>
              </wp:positionV>
              <wp:extent cx="622300" cy="1229360"/>
              <wp:effectExtent l="1270" t="0" r="0" b="3810"/>
              <wp:wrapNone/>
              <wp:docPr id="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2293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55E23" w14:textId="77777777" w:rsidR="00B63746" w:rsidRPr="00367149" w:rsidRDefault="00B63746" w:rsidP="00B63746">
                          <w:pPr>
                            <w:jc w:val="center"/>
                            <w:rPr>
                              <w:rFonts w:ascii="Verdana" w:hAnsi="Verdana"/>
                              <w:color w:val="FFFFFF" w:themeColor="background1"/>
                              <w:sz w:val="16"/>
                              <w:lang w:val="fr-BE"/>
                            </w:rPr>
                          </w:pPr>
                          <w:r w:rsidRPr="008B4415">
                            <w:rPr>
                              <w:rFonts w:ascii="Verdana" w:hAnsi="Verdana"/>
                              <w:color w:val="FFFFFF" w:themeColor="background1"/>
                              <w:sz w:val="16"/>
                              <w:lang w:val="fr-BE"/>
                            </w:rPr>
                            <w:t>ET-02-20-534-EN-N</w:t>
                          </w:r>
                        </w:p>
                        <w:p w14:paraId="4316CF99" w14:textId="6312CB7D" w:rsidR="005F07B8" w:rsidRPr="00367149" w:rsidRDefault="005F07B8" w:rsidP="00B63746">
                          <w:pPr>
                            <w:jc w:val="center"/>
                            <w:rPr>
                              <w:rFonts w:ascii="Verdana" w:hAnsi="Verdana"/>
                              <w:color w:val="FFFFFF" w:themeColor="background1"/>
                              <w:sz w:val="16"/>
                              <w:lang w:val="fr-BE"/>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61DED0B" id="_x0000_t202" coordsize="21600,21600" o:spt="202" path="m,l,21600r21600,l21600,xe">
              <v:stroke joinstyle="miter"/>
              <v:path gradientshapeok="t" o:connecttype="rect"/>
            </v:shapetype>
            <v:shape id="Text Box 72" o:spid="_x0000_s1027" type="#_x0000_t202" style="position:absolute;left:0;text-align:left;margin-left:459.1pt;margin-top:10.9pt;width:49pt;height:96.8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" filled="f" fillcolor="black" stroked="f">
              <v:textbox style="layout-flow:vertical" inset="0,0,0,0">
                <w:txbxContent>
                  <w:p w14:paraId="63155E23" w14:textId="77777777" w:rsidR="00B63746" w:rsidRPr="00367149" w:rsidRDefault="00B63746" w:rsidP="00B63746">
                    <w:pPr>
                      <w:jc w:val="center"/>
                      <w:rPr>
                        <w:rFonts w:ascii="Verdana" w:hAnsi="Verdana"/>
                        <w:color w:val="FFFFFF" w:themeColor="background1"/>
                        <w:sz w:val="16"/>
                        <w:lang w:val="fr-BE"/>
                      </w:rPr>
                    </w:pPr>
                    <w:r w:rsidRPr="008B4415">
                      <w:rPr>
                        <w:rFonts w:ascii="Verdana" w:hAnsi="Verdana"/>
                        <w:color w:val="FFFFFF" w:themeColor="background1"/>
                        <w:sz w:val="16"/>
                        <w:lang w:val="fr-BE"/>
                      </w:rPr>
                      <w:t>ET-02-20-534-EN-N</w:t>
                    </w:r>
                  </w:p>
                  <w:p w14:paraId="4316CF99" w14:textId="6312CB7D" w:rsidR="005F07B8" w:rsidRPr="00367149" w:rsidRDefault="005F07B8" w:rsidP="00B63746">
                    <w:pPr>
                      <w:jc w:val="center"/>
                      <w:rPr>
                        <w:rFonts w:ascii="Verdana" w:hAnsi="Verdana"/>
                        <w:color w:val="FFFFFF" w:themeColor="background1"/>
                        <w:sz w:val="16"/>
                        <w:lang w:val="fr-BE"/>
                      </w:rPr>
                    </w:pP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54E2316"/>
    <w:multiLevelType w:val="hybridMultilevel"/>
    <w:tmpl w:val="FA9AA558"/>
    <w:lvl w:ilvl="0" w:tplc="20000001">
      <w:start w:val="1"/>
      <w:numFmt w:val="bullet"/>
      <w:lvlText w:val=""/>
      <w:lvlJc w:val="left"/>
      <w:pPr>
        <w:ind w:left="1080" w:hanging="360"/>
      </w:pPr>
      <w:rPr>
        <w:rFonts w:ascii="Symbol" w:hAnsi="Symbol" w:hint="default"/>
      </w:rPr>
    </w:lvl>
    <w:lvl w:ilvl="1" w:tplc="CD92EAB0">
      <w:numFmt w:val="bullet"/>
      <w:lvlText w:val="-"/>
      <w:lvlJc w:val="left"/>
      <w:pPr>
        <w:ind w:left="1800" w:hanging="360"/>
      </w:pPr>
      <w:rPr>
        <w:rFonts w:ascii="Verdana" w:eastAsia="Times New Roman" w:hAnsi="Verdana" w:cs="Times New Roman"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 w15:restartNumberingAfterBreak="0">
    <w:nsid w:val="08A55008"/>
    <w:multiLevelType w:val="multilevel"/>
    <w:tmpl w:val="7F208A04"/>
    <w:lvl w:ilvl="0">
      <w:start w:val="1"/>
      <w:numFmt w:val="upperLetter"/>
      <w:pStyle w:val="ANNEX"/>
      <w:suff w:val="nothing"/>
      <w:lvlText w:val="Annex %1"/>
      <w:lvlJc w:val="left"/>
      <w:pPr>
        <w:ind w:left="0" w:firstLine="0"/>
      </w:pPr>
      <w:rPr>
        <w:rFonts w:ascii="Cambria" w:hAnsi="Cambria" w:cs="Times New Roman" w:hint="default"/>
        <w:b/>
        <w:i w:val="0"/>
        <w:sz w:val="28"/>
        <w:szCs w:val="28"/>
      </w:rPr>
    </w:lvl>
    <w:lvl w:ilvl="1">
      <w:start w:val="1"/>
      <w:numFmt w:val="decimal"/>
      <w:pStyle w:val="a2"/>
      <w:lvlText w:val="%1.%2"/>
      <w:lvlJc w:val="left"/>
      <w:pPr>
        <w:tabs>
          <w:tab w:val="num" w:pos="360"/>
        </w:tabs>
        <w:ind w:left="0" w:firstLine="0"/>
      </w:pPr>
      <w:rPr>
        <w:rFonts w:cs="Times New Roman" w:hint="default"/>
        <w:b/>
        <w:i w:val="0"/>
      </w:rPr>
    </w:lvl>
    <w:lvl w:ilvl="2">
      <w:start w:val="1"/>
      <w:numFmt w:val="decimal"/>
      <w:pStyle w:val="a3"/>
      <w:lvlText w:val="%1.%2.%3"/>
      <w:lvlJc w:val="left"/>
      <w:pPr>
        <w:tabs>
          <w:tab w:val="num" w:pos="720"/>
        </w:tabs>
        <w:ind w:left="0" w:firstLine="0"/>
      </w:pPr>
      <w:rPr>
        <w:rFonts w:cs="Times New Roman" w:hint="default"/>
        <w:b/>
        <w:i w:val="0"/>
      </w:rPr>
    </w:lvl>
    <w:lvl w:ilvl="3">
      <w:start w:val="1"/>
      <w:numFmt w:val="decimal"/>
      <w:pStyle w:val="a4"/>
      <w:lvlText w:val="%1.%2.%3.%4"/>
      <w:lvlJc w:val="left"/>
      <w:pPr>
        <w:tabs>
          <w:tab w:val="num" w:pos="1080"/>
        </w:tabs>
        <w:ind w:left="0" w:firstLine="0"/>
      </w:pPr>
      <w:rPr>
        <w:rFonts w:cs="Times New Roman" w:hint="default"/>
        <w:b/>
        <w:i w:val="0"/>
      </w:rPr>
    </w:lvl>
    <w:lvl w:ilvl="4">
      <w:start w:val="1"/>
      <w:numFmt w:val="decimal"/>
      <w:pStyle w:val="a5"/>
      <w:lvlText w:val="%1.%2.%3.%4.%5"/>
      <w:lvlJc w:val="left"/>
      <w:pPr>
        <w:tabs>
          <w:tab w:val="num" w:pos="1080"/>
        </w:tabs>
        <w:ind w:left="0" w:firstLine="0"/>
      </w:pPr>
      <w:rPr>
        <w:rFonts w:cs="Times New Roman" w:hint="default"/>
        <w:b/>
        <w:i w:val="0"/>
      </w:rPr>
    </w:lvl>
    <w:lvl w:ilvl="5">
      <w:start w:val="1"/>
      <w:numFmt w:val="decimal"/>
      <w:pStyle w:val="a6"/>
      <w:lvlText w:val="%1.%2.%3.%4.%5.%6"/>
      <w:lvlJc w:val="left"/>
      <w:pPr>
        <w:tabs>
          <w:tab w:val="num" w:pos="1440"/>
        </w:tabs>
        <w:ind w:left="0" w:firstLine="0"/>
      </w:pPr>
      <w:rPr>
        <w:rFonts w:cs="Times New Roman" w:hint="default"/>
        <w:b/>
        <w:i w: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4" w15:restartNumberingAfterBreak="0">
    <w:nsid w:val="0A2272AC"/>
    <w:multiLevelType w:val="hybridMultilevel"/>
    <w:tmpl w:val="EA50A6E0"/>
    <w:lvl w:ilvl="0" w:tplc="465A8074">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AE93DD9"/>
    <w:multiLevelType w:val="hybridMultilevel"/>
    <w:tmpl w:val="E2F42D7A"/>
    <w:lvl w:ilvl="0" w:tplc="27C0369C">
      <w:start w:val="1"/>
      <w:numFmt w:val="bullet"/>
      <w:lvlText w:val="–"/>
      <w:lvlJc w:val="left"/>
      <w:pPr>
        <w:ind w:left="1080" w:hanging="360"/>
      </w:pPr>
      <w:rPr>
        <w:rFonts w:ascii="Times New Roman" w:hAnsi="Times New Roman" w:cs="Times New Roman" w:hint="default"/>
        <w:lang w:val="en-GB"/>
      </w:rPr>
    </w:lvl>
    <w:lvl w:ilvl="1" w:tplc="20000003">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6" w15:restartNumberingAfterBreak="0">
    <w:nsid w:val="0B2426CC"/>
    <w:multiLevelType w:val="multilevel"/>
    <w:tmpl w:val="1B480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DC44F3"/>
    <w:multiLevelType w:val="hybridMultilevel"/>
    <w:tmpl w:val="B7C0AEDA"/>
    <w:lvl w:ilvl="0" w:tplc="465A8074">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F36351F"/>
    <w:multiLevelType w:val="hybridMultilevel"/>
    <w:tmpl w:val="1AD81A4A"/>
    <w:lvl w:ilvl="0" w:tplc="465A8074">
      <w:start w:val="1"/>
      <w:numFmt w:val="bullet"/>
      <w:lvlText w:val="–"/>
      <w:lvlJc w:val="left"/>
      <w:pPr>
        <w:ind w:left="720" w:hanging="360"/>
      </w:pPr>
      <w:rPr>
        <w:rFonts w:ascii="Times New Roman" w:hAnsi="Times New Roman" w:cs="Times New Roman" w:hint="default"/>
      </w:rPr>
    </w:lvl>
    <w:lvl w:ilvl="1" w:tplc="465A8074">
      <w:start w:val="1"/>
      <w:numFmt w:val="bullet"/>
      <w:lvlText w:val="–"/>
      <w:lvlJc w:val="left"/>
      <w:pPr>
        <w:ind w:left="1440" w:hanging="360"/>
      </w:pPr>
      <w:rPr>
        <w:rFonts w:ascii="Times New Roman"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048426E"/>
    <w:multiLevelType w:val="hybridMultilevel"/>
    <w:tmpl w:val="F76EC6AC"/>
    <w:lvl w:ilvl="0" w:tplc="1DBAE22A">
      <w:start w:val="1"/>
      <w:numFmt w:val="bullet"/>
      <w:pStyle w:val="Bulletpoint1"/>
      <w:lvlText w:val=""/>
      <w:lvlJc w:val="left"/>
      <w:pPr>
        <w:ind w:left="717" w:hanging="360"/>
      </w:pPr>
      <w:rPr>
        <w:rFonts w:ascii="Symbol" w:hAnsi="Symbol" w:hint="default"/>
        <w:color w:val="00AE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FC2D7F"/>
    <w:multiLevelType w:val="hybridMultilevel"/>
    <w:tmpl w:val="447CCF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B3C78B8"/>
    <w:multiLevelType w:val="multilevel"/>
    <w:tmpl w:val="2C7031C0"/>
    <w:lvl w:ilvl="0">
      <w:start w:val="1"/>
      <w:numFmt w:val="decimal"/>
      <w:lvlRestart w:val="0"/>
      <w:pStyle w:val="Point0number"/>
      <w:lvlText w:val="(%1)"/>
      <w:lvlJc w:val="left"/>
      <w:pPr>
        <w:tabs>
          <w:tab w:val="num" w:pos="992"/>
        </w:tabs>
        <w:ind w:left="992" w:hanging="850"/>
      </w:pPr>
      <w:rPr>
        <w:rFonts w:hint="default"/>
        <w:i w:val="0"/>
        <w:iCs/>
      </w:rPr>
    </w:lvl>
    <w:lvl w:ilvl="1">
      <w:start w:val="1"/>
      <w:numFmt w:val="bullet"/>
      <w:lvlText w:val="–"/>
      <w:lvlJc w:val="left"/>
      <w:pPr>
        <w:tabs>
          <w:tab w:val="num" w:pos="850"/>
        </w:tabs>
        <w:ind w:left="850" w:hanging="850"/>
      </w:pPr>
      <w:rPr>
        <w:rFonts w:ascii="Times New Roman" w:hAnsi="Times New Roman" w:cs="Times New Roman" w:hint="default"/>
      </w:rPr>
    </w:lvl>
    <w:lvl w:ilvl="2">
      <w:start w:val="1"/>
      <w:numFmt w:val="lowerLetter"/>
      <w:lvlText w:val="%3)"/>
      <w:lvlJc w:val="left"/>
      <w:pPr>
        <w:tabs>
          <w:tab w:val="num" w:pos="1417"/>
        </w:tabs>
        <w:ind w:left="1417" w:hanging="567"/>
      </w:pPr>
      <w:rPr>
        <w:rFonts w:hint="default"/>
      </w:rPr>
    </w:lvl>
    <w:lvl w:ilvl="3">
      <w:start w:val="1"/>
      <w:numFmt w:val="lowerLetter"/>
      <w:pStyle w:val="Point1letter"/>
      <w:lvlText w:val="(%4)"/>
      <w:lvlJc w:val="left"/>
      <w:pPr>
        <w:tabs>
          <w:tab w:val="num" w:pos="1417"/>
        </w:tabs>
        <w:ind w:left="1417" w:hanging="567"/>
      </w:pPr>
      <w:rPr>
        <w:rFonts w:hint="default"/>
      </w:rPr>
    </w:lvl>
    <w:lvl w:ilvl="4">
      <w:start w:val="1"/>
      <w:numFmt w:val="decimal"/>
      <w:pStyle w:val="Point2number"/>
      <w:lvlText w:val="(%5)"/>
      <w:lvlJc w:val="left"/>
      <w:pPr>
        <w:tabs>
          <w:tab w:val="num" w:pos="1984"/>
        </w:tabs>
        <w:ind w:left="1984" w:hanging="567"/>
      </w:pPr>
      <w:rPr>
        <w:rFonts w:hint="default"/>
      </w:rPr>
    </w:lvl>
    <w:lvl w:ilvl="5">
      <w:start w:val="1"/>
      <w:numFmt w:val="lowerLetter"/>
      <w:pStyle w:val="Point2letter"/>
      <w:lvlText w:val="(%6)"/>
      <w:lvlJc w:val="left"/>
      <w:pPr>
        <w:tabs>
          <w:tab w:val="num" w:pos="1984"/>
        </w:tabs>
        <w:ind w:left="1984" w:hanging="567"/>
      </w:pPr>
      <w:rPr>
        <w:rFonts w:hint="default"/>
      </w:rPr>
    </w:lvl>
    <w:lvl w:ilvl="6">
      <w:start w:val="1"/>
      <w:numFmt w:val="decimal"/>
      <w:pStyle w:val="Point3number"/>
      <w:lvlText w:val="(%7)"/>
      <w:lvlJc w:val="left"/>
      <w:pPr>
        <w:tabs>
          <w:tab w:val="num" w:pos="2551"/>
        </w:tabs>
        <w:ind w:left="2551" w:hanging="567"/>
      </w:pPr>
      <w:rPr>
        <w:rFonts w:hint="default"/>
      </w:rPr>
    </w:lvl>
    <w:lvl w:ilvl="7">
      <w:start w:val="1"/>
      <w:numFmt w:val="lowerLetter"/>
      <w:pStyle w:val="Point3letter"/>
      <w:lvlText w:val="(%8)"/>
      <w:lvlJc w:val="left"/>
      <w:pPr>
        <w:tabs>
          <w:tab w:val="num" w:pos="2551"/>
        </w:tabs>
        <w:ind w:left="2551" w:hanging="567"/>
      </w:pPr>
      <w:rPr>
        <w:rFonts w:hint="default"/>
      </w:rPr>
    </w:lvl>
    <w:lvl w:ilvl="8">
      <w:start w:val="1"/>
      <w:numFmt w:val="lowerLetter"/>
      <w:pStyle w:val="Point4letter"/>
      <w:lvlText w:val="(%9)"/>
      <w:lvlJc w:val="left"/>
      <w:pPr>
        <w:tabs>
          <w:tab w:val="num" w:pos="3118"/>
        </w:tabs>
        <w:ind w:left="3118" w:hanging="567"/>
      </w:pPr>
      <w:rPr>
        <w:rFonts w:hint="default"/>
      </w:rPr>
    </w:lvl>
  </w:abstractNum>
  <w:abstractNum w:abstractNumId="13" w15:restartNumberingAfterBreak="0">
    <w:nsid w:val="1C312A29"/>
    <w:multiLevelType w:val="hybridMultilevel"/>
    <w:tmpl w:val="23B8CDD6"/>
    <w:lvl w:ilvl="0" w:tplc="465A8074">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F734306"/>
    <w:multiLevelType w:val="multilevel"/>
    <w:tmpl w:val="A4C8162A"/>
    <w:lvl w:ilvl="0">
      <w:start w:val="1"/>
      <w:numFmt w:val="decimal"/>
      <w:pStyle w:val="Heading1"/>
      <w:lvlText w:val="%1."/>
      <w:lvlJc w:val="left"/>
      <w:pPr>
        <w:tabs>
          <w:tab w:val="num" w:pos="480"/>
        </w:tabs>
        <w:ind w:left="480" w:hanging="480"/>
      </w:pPr>
      <w:rPr>
        <w:rFonts w:hint="default"/>
      </w:rPr>
    </w:lvl>
    <w:lvl w:ilvl="1">
      <w:start w:val="1"/>
      <w:numFmt w:val="decimal"/>
      <w:pStyle w:val="Heading2"/>
      <w:lvlText w:val="%1.%2."/>
      <w:lvlJc w:val="left"/>
      <w:pPr>
        <w:tabs>
          <w:tab w:val="num" w:pos="1712"/>
        </w:tabs>
        <w:ind w:left="567" w:hanging="170"/>
      </w:pPr>
      <w:rPr>
        <w:rFonts w:hint="default"/>
        <w:i w:val="0"/>
        <w:iCs w:val="0"/>
      </w:rPr>
    </w:lvl>
    <w:lvl w:ilvl="2">
      <w:start w:val="1"/>
      <w:numFmt w:val="decimal"/>
      <w:pStyle w:val="Heading3"/>
      <w:lvlText w:val="%1.%2.%3."/>
      <w:lvlJc w:val="left"/>
      <w:pPr>
        <w:tabs>
          <w:tab w:val="num" w:pos="1920"/>
        </w:tabs>
        <w:ind w:left="1920" w:hanging="720"/>
      </w:pPr>
      <w:rPr>
        <w:rFonts w:hint="default"/>
      </w:rPr>
    </w:lvl>
    <w:lvl w:ilvl="3">
      <w:start w:val="1"/>
      <w:numFmt w:val="decimal"/>
      <w:pStyle w:val="Heading4"/>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31C2055"/>
    <w:multiLevelType w:val="hybridMultilevel"/>
    <w:tmpl w:val="2A4C2B2E"/>
    <w:lvl w:ilvl="0" w:tplc="053C433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2B3B10"/>
    <w:multiLevelType w:val="hybridMultilevel"/>
    <w:tmpl w:val="2A962A8E"/>
    <w:lvl w:ilvl="0" w:tplc="465A8074">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25CB0CEF"/>
    <w:multiLevelType w:val="multilevel"/>
    <w:tmpl w:val="A41E7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C376ED"/>
    <w:multiLevelType w:val="hybridMultilevel"/>
    <w:tmpl w:val="4A08645E"/>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20" w15:restartNumberingAfterBreak="0">
    <w:nsid w:val="2AC463CC"/>
    <w:multiLevelType w:val="hybridMultilevel"/>
    <w:tmpl w:val="C49E7C76"/>
    <w:lvl w:ilvl="0" w:tplc="465A8074">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22" w15:restartNumberingAfterBreak="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24" w15:restartNumberingAfterBreak="0">
    <w:nsid w:val="30556399"/>
    <w:multiLevelType w:val="hybridMultilevel"/>
    <w:tmpl w:val="48648040"/>
    <w:lvl w:ilvl="0" w:tplc="465A8074">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31217796"/>
    <w:multiLevelType w:val="hybridMultilevel"/>
    <w:tmpl w:val="24EAAF02"/>
    <w:lvl w:ilvl="0" w:tplc="465A8074">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7"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369B1E1E"/>
    <w:multiLevelType w:val="hybridMultilevel"/>
    <w:tmpl w:val="441AFC54"/>
    <w:lvl w:ilvl="0" w:tplc="465A8074">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3A3E19EE"/>
    <w:multiLevelType w:val="hybridMultilevel"/>
    <w:tmpl w:val="0F50B5BA"/>
    <w:lvl w:ilvl="0" w:tplc="465A8074">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31"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32" w15:restartNumberingAfterBreak="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3"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34" w15:restartNumberingAfterBreak="0">
    <w:nsid w:val="4B4A1CE1"/>
    <w:multiLevelType w:val="hybridMultilevel"/>
    <w:tmpl w:val="2EEA4DF0"/>
    <w:lvl w:ilvl="0" w:tplc="508EE518">
      <w:start w:val="1"/>
      <w:numFmt w:val="bullet"/>
      <w:pStyle w:val="BulletPoint2"/>
      <w:lvlText w:val=""/>
      <w:lvlJc w:val="left"/>
      <w:pPr>
        <w:ind w:left="1080" w:hanging="360"/>
      </w:pPr>
      <w:rPr>
        <w:rFonts w:ascii="Symbol" w:hAnsi="Symbol" w:hint="default"/>
        <w:color w:val="7F7F7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E8D3084"/>
    <w:multiLevelType w:val="hybridMultilevel"/>
    <w:tmpl w:val="D8B4EFBA"/>
    <w:lvl w:ilvl="0" w:tplc="E83E1136">
      <w:start w:val="1"/>
      <w:numFmt w:val="decimal"/>
      <w:pStyle w:val="Title2"/>
      <w:lvlText w:val="%1.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36"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7"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8" w15:restartNumberingAfterBreak="0">
    <w:nsid w:val="5A292CDF"/>
    <w:multiLevelType w:val="hybridMultilevel"/>
    <w:tmpl w:val="5A2E2F98"/>
    <w:lvl w:ilvl="0" w:tplc="08090001">
      <w:start w:val="1"/>
      <w:numFmt w:val="bullet"/>
      <w:lvlText w:val=""/>
      <w:lvlJc w:val="left"/>
      <w:pPr>
        <w:ind w:left="1080" w:hanging="360"/>
      </w:pPr>
      <w:rPr>
        <w:rFonts w:ascii="Symbol" w:hAnsi="Symbol" w:cs="Symbol" w:hint="default"/>
      </w:rPr>
    </w:lvl>
    <w:lvl w:ilvl="1" w:tplc="08090001">
      <w:start w:val="1"/>
      <w:numFmt w:val="bullet"/>
      <w:lvlText w:val=""/>
      <w:lvlJc w:val="left"/>
      <w:pPr>
        <w:ind w:left="2160" w:hanging="720"/>
      </w:pPr>
      <w:rPr>
        <w:rFonts w:ascii="Symbol" w:hAnsi="Symbol"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39" w15:restartNumberingAfterBreak="0">
    <w:nsid w:val="5C2B1D6F"/>
    <w:multiLevelType w:val="hybridMultilevel"/>
    <w:tmpl w:val="714CE3D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1" w15:restartNumberingAfterBreak="0">
    <w:nsid w:val="5CDF1DD8"/>
    <w:multiLevelType w:val="hybridMultilevel"/>
    <w:tmpl w:val="3E4685D8"/>
    <w:lvl w:ilvl="0" w:tplc="10000017">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2"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43"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4" w15:restartNumberingAfterBreak="0">
    <w:nsid w:val="61781404"/>
    <w:multiLevelType w:val="hybridMultilevel"/>
    <w:tmpl w:val="53D80D84"/>
    <w:lvl w:ilvl="0" w:tplc="2000000F">
      <w:start w:val="1"/>
      <w:numFmt w:val="decimal"/>
      <w:lvlText w:val="%1."/>
      <w:lvlJc w:val="left"/>
      <w:pPr>
        <w:ind w:left="360" w:hanging="360"/>
      </w:pPr>
    </w:lvl>
    <w:lvl w:ilvl="1" w:tplc="D6A87C32">
      <w:start w:val="1"/>
      <w:numFmt w:val="decimal"/>
      <w:lvlText w:val="%2)"/>
      <w:lvlJc w:val="left"/>
      <w:pPr>
        <w:ind w:left="1080" w:hanging="360"/>
      </w:pPr>
      <w:rPr>
        <w:rFonts w:hint="default"/>
      </w:r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5" w15:restartNumberingAfterBreak="0">
    <w:nsid w:val="61DD1F81"/>
    <w:multiLevelType w:val="multilevel"/>
    <w:tmpl w:val="DC5C744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47" w15:restartNumberingAfterBreak="0">
    <w:nsid w:val="6CCC249F"/>
    <w:multiLevelType w:val="hybridMultilevel"/>
    <w:tmpl w:val="F642CA50"/>
    <w:lvl w:ilvl="0" w:tplc="72DCC4BC">
      <w:start w:val="1"/>
      <w:numFmt w:val="bullet"/>
      <w:lvlText w:val="•"/>
      <w:lvlJc w:val="left"/>
      <w:pPr>
        <w:ind w:left="1080" w:hanging="720"/>
      </w:pPr>
      <w:rPr>
        <w:rFonts w:ascii="Verdana" w:eastAsia="Times New Roman" w:hAnsi="Verdana" w:cs="Segoe UI" w:hint="default"/>
      </w:rPr>
    </w:lvl>
    <w:lvl w:ilvl="1" w:tplc="F760C566">
      <w:start w:val="4"/>
      <w:numFmt w:val="bullet"/>
      <w:lvlText w:val=""/>
      <w:lvlJc w:val="left"/>
      <w:pPr>
        <w:ind w:left="1800" w:hanging="720"/>
      </w:pPr>
      <w:rPr>
        <w:rFonts w:ascii="Symbol" w:eastAsia="Times New Roman" w:hAnsi="Symbol" w:cs="Times New Roman"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8" w15:restartNumberingAfterBreak="0">
    <w:nsid w:val="6D2B5511"/>
    <w:multiLevelType w:val="singleLevel"/>
    <w:tmpl w:val="74A09970"/>
    <w:name w:val="0.9272228"/>
    <w:lvl w:ilvl="0">
      <w:start w:val="1"/>
      <w:numFmt w:val="bullet"/>
      <w:lvlRestart w:val="0"/>
      <w:lvlText w:val=""/>
      <w:lvlJc w:val="left"/>
      <w:pPr>
        <w:tabs>
          <w:tab w:val="num" w:pos="283"/>
        </w:tabs>
        <w:ind w:left="283" w:hanging="283"/>
      </w:pPr>
      <w:rPr>
        <w:rFonts w:ascii="Symbol" w:hAnsi="Symbol" w:hint="default"/>
      </w:rPr>
    </w:lvl>
  </w:abstractNum>
  <w:abstractNum w:abstractNumId="49" w15:restartNumberingAfterBreak="0">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50" w15:restartNumberingAfterBreak="0">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15:restartNumberingAfterBreak="0">
    <w:nsid w:val="75A0428A"/>
    <w:multiLevelType w:val="multilevel"/>
    <w:tmpl w:val="B65C7FAC"/>
    <w:lvl w:ilvl="0">
      <w:start w:val="1"/>
      <w:numFmt w:val="decimal"/>
      <w:lvlRestart w:val="0"/>
      <w:lvlText w:val="(%1)"/>
      <w:lvlJc w:val="left"/>
      <w:pPr>
        <w:tabs>
          <w:tab w:val="num" w:pos="992"/>
        </w:tabs>
        <w:ind w:left="992" w:hanging="850"/>
      </w:pPr>
      <w:rPr>
        <w:rFonts w:hint="default"/>
        <w:i w:val="0"/>
        <w:iCs/>
      </w:rPr>
    </w:lvl>
    <w:lvl w:ilvl="1">
      <w:start w:val="1"/>
      <w:numFmt w:val="bullet"/>
      <w:lvlText w:val="–"/>
      <w:lvlJc w:val="left"/>
      <w:pPr>
        <w:tabs>
          <w:tab w:val="num" w:pos="850"/>
        </w:tabs>
        <w:ind w:left="850" w:hanging="850"/>
      </w:pPr>
      <w:rPr>
        <w:rFonts w:ascii="Times New Roman" w:hAnsi="Times New Roman" w:cs="Times New Roman" w:hint="default"/>
      </w:rPr>
    </w:lvl>
    <w:lvl w:ilvl="2">
      <w:start w:val="1"/>
      <w:numFmt w:val="lowerLetter"/>
      <w:lvlText w:val="%3)"/>
      <w:lvlJc w:val="left"/>
      <w:pPr>
        <w:tabs>
          <w:tab w:val="num" w:pos="1417"/>
        </w:tabs>
        <w:ind w:left="1417" w:hanging="567"/>
      </w:pPr>
      <w:rPr>
        <w:rFonts w:hint="default"/>
      </w:rPr>
    </w:lvl>
    <w:lvl w:ilvl="3">
      <w:start w:val="1"/>
      <w:numFmt w:val="lowerLetter"/>
      <w:lvlText w:val="(%4)"/>
      <w:lvlJc w:val="left"/>
      <w:pPr>
        <w:tabs>
          <w:tab w:val="num" w:pos="1417"/>
        </w:tabs>
        <w:ind w:left="1417" w:hanging="567"/>
      </w:pPr>
      <w:rPr>
        <w:rFonts w:hint="default"/>
      </w:rPr>
    </w:lvl>
    <w:lvl w:ilvl="4">
      <w:start w:val="1"/>
      <w:numFmt w:val="decimal"/>
      <w:lvlText w:val="(%5)"/>
      <w:lvlJc w:val="left"/>
      <w:pPr>
        <w:tabs>
          <w:tab w:val="num" w:pos="1984"/>
        </w:tabs>
        <w:ind w:left="1984" w:hanging="567"/>
      </w:pPr>
      <w:rPr>
        <w:rFonts w:hint="default"/>
      </w:rPr>
    </w:lvl>
    <w:lvl w:ilvl="5">
      <w:start w:val="1"/>
      <w:numFmt w:val="lowerLetter"/>
      <w:lvlText w:val="(%6)"/>
      <w:lvlJc w:val="left"/>
      <w:pPr>
        <w:tabs>
          <w:tab w:val="num" w:pos="1984"/>
        </w:tabs>
        <w:ind w:left="1984" w:hanging="567"/>
      </w:pPr>
      <w:rPr>
        <w:rFonts w:hint="default"/>
      </w:rPr>
    </w:lvl>
    <w:lvl w:ilvl="6">
      <w:start w:val="1"/>
      <w:numFmt w:val="decimal"/>
      <w:lvlText w:val="(%7)"/>
      <w:lvlJc w:val="left"/>
      <w:pPr>
        <w:tabs>
          <w:tab w:val="num" w:pos="2551"/>
        </w:tabs>
        <w:ind w:left="2551" w:hanging="567"/>
      </w:pPr>
      <w:rPr>
        <w:rFonts w:hint="default"/>
      </w:rPr>
    </w:lvl>
    <w:lvl w:ilvl="7">
      <w:start w:val="1"/>
      <w:numFmt w:val="lowerLetter"/>
      <w:lvlText w:val="(%8)"/>
      <w:lvlJc w:val="left"/>
      <w:pPr>
        <w:tabs>
          <w:tab w:val="num" w:pos="2551"/>
        </w:tabs>
        <w:ind w:left="2551" w:hanging="567"/>
      </w:pPr>
      <w:rPr>
        <w:rFonts w:hint="default"/>
      </w:rPr>
    </w:lvl>
    <w:lvl w:ilvl="8">
      <w:start w:val="1"/>
      <w:numFmt w:val="lowerLetter"/>
      <w:lvlText w:val="(%9)"/>
      <w:lvlJc w:val="left"/>
      <w:pPr>
        <w:tabs>
          <w:tab w:val="num" w:pos="3118"/>
        </w:tabs>
        <w:ind w:left="3118" w:hanging="567"/>
      </w:pPr>
      <w:rPr>
        <w:rFonts w:hint="default"/>
      </w:rPr>
    </w:lvl>
  </w:abstractNum>
  <w:abstractNum w:abstractNumId="52" w15:restartNumberingAfterBreak="0">
    <w:nsid w:val="79F90FAF"/>
    <w:multiLevelType w:val="multilevel"/>
    <w:tmpl w:val="DC5C744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7DB67E8E"/>
    <w:multiLevelType w:val="hybridMultilevel"/>
    <w:tmpl w:val="DDCA07E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4" w15:restartNumberingAfterBreak="0">
    <w:nsid w:val="7F622186"/>
    <w:multiLevelType w:val="hybridMultilevel"/>
    <w:tmpl w:val="71E6200A"/>
    <w:lvl w:ilvl="0" w:tplc="465A8074">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4"/>
  </w:num>
  <w:num w:numId="4">
    <w:abstractNumId w:val="31"/>
  </w:num>
  <w:num w:numId="5">
    <w:abstractNumId w:val="21"/>
  </w:num>
  <w:num w:numId="6">
    <w:abstractNumId w:val="30"/>
  </w:num>
  <w:num w:numId="7">
    <w:abstractNumId w:val="46"/>
  </w:num>
  <w:num w:numId="8">
    <w:abstractNumId w:val="49"/>
  </w:num>
  <w:num w:numId="9">
    <w:abstractNumId w:val="26"/>
  </w:num>
  <w:num w:numId="10">
    <w:abstractNumId w:val="43"/>
  </w:num>
  <w:num w:numId="11">
    <w:abstractNumId w:val="42"/>
  </w:num>
  <w:num w:numId="12">
    <w:abstractNumId w:val="33"/>
  </w:num>
  <w:num w:numId="13">
    <w:abstractNumId w:val="36"/>
  </w:num>
  <w:num w:numId="14">
    <w:abstractNumId w:val="15"/>
  </w:num>
  <w:num w:numId="15">
    <w:abstractNumId w:val="27"/>
  </w:num>
  <w:num w:numId="16">
    <w:abstractNumId w:val="11"/>
  </w:num>
  <w:num w:numId="17">
    <w:abstractNumId w:val="22"/>
  </w:num>
  <w:num w:numId="18">
    <w:abstractNumId w:val="50"/>
  </w:num>
  <w:num w:numId="19">
    <w:abstractNumId w:val="34"/>
  </w:num>
  <w:num w:numId="20">
    <w:abstractNumId w:val="9"/>
  </w:num>
  <w:num w:numId="21">
    <w:abstractNumId w:val="35"/>
  </w:num>
  <w:num w:numId="22">
    <w:abstractNumId w:val="12"/>
  </w:num>
  <w:num w:numId="23">
    <w:abstractNumId w:val="12"/>
  </w:num>
  <w:num w:numId="24">
    <w:abstractNumId w:val="40"/>
  </w:num>
  <w:num w:numId="25">
    <w:abstractNumId w:val="40"/>
    <w:lvlOverride w:ilvl="0">
      <w:startOverride w:val="1"/>
    </w:lvlOverride>
  </w:num>
  <w:num w:numId="26">
    <w:abstractNumId w:val="32"/>
  </w:num>
  <w:num w:numId="27">
    <w:abstractNumId w:val="3"/>
  </w:num>
  <w:num w:numId="28">
    <w:abstractNumId w:val="23"/>
    <w:lvlOverride w:ilvl="0">
      <w:startOverride w:val="1"/>
    </w:lvlOverride>
  </w:num>
  <w:num w:numId="29">
    <w:abstractNumId w:val="37"/>
    <w:lvlOverride w:ilvl="0">
      <w:startOverride w:val="1"/>
    </w:lvlOverride>
  </w:num>
  <w:num w:numId="30">
    <w:abstractNumId w:val="19"/>
  </w:num>
  <w:num w:numId="31">
    <w:abstractNumId w:val="38"/>
  </w:num>
  <w:num w:numId="32">
    <w:abstractNumId w:val="2"/>
  </w:num>
  <w:num w:numId="33">
    <w:abstractNumId w:val="53"/>
  </w:num>
  <w:num w:numId="34">
    <w:abstractNumId w:val="28"/>
  </w:num>
  <w:num w:numId="35">
    <w:abstractNumId w:val="8"/>
  </w:num>
  <w:num w:numId="36">
    <w:abstractNumId w:val="44"/>
  </w:num>
  <w:num w:numId="37">
    <w:abstractNumId w:val="54"/>
  </w:num>
  <w:num w:numId="38">
    <w:abstractNumId w:val="20"/>
  </w:num>
  <w:num w:numId="39">
    <w:abstractNumId w:val="4"/>
  </w:num>
  <w:num w:numId="40">
    <w:abstractNumId w:val="7"/>
  </w:num>
  <w:num w:numId="41">
    <w:abstractNumId w:val="5"/>
  </w:num>
  <w:num w:numId="42">
    <w:abstractNumId w:val="13"/>
  </w:num>
  <w:num w:numId="43">
    <w:abstractNumId w:val="25"/>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1"/>
  </w:num>
  <w:num w:numId="46">
    <w:abstractNumId w:val="29"/>
  </w:num>
  <w:num w:numId="47">
    <w:abstractNumId w:val="24"/>
  </w:num>
  <w:num w:numId="48">
    <w:abstractNumId w:val="17"/>
  </w:num>
  <w:num w:numId="49">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50">
    <w:abstractNumId w:val="52"/>
  </w:num>
  <w:num w:numId="51">
    <w:abstractNumId w:val="52"/>
  </w:num>
  <w:num w:numId="52">
    <w:abstractNumId w:val="41"/>
  </w:num>
  <w:num w:numId="53">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54">
    <w:abstractNumId w:val="45"/>
  </w:num>
  <w:num w:numId="55">
    <w:abstractNumId w:val="16"/>
  </w:num>
  <w:num w:numId="56">
    <w:abstractNumId w:val="39"/>
  </w:num>
  <w:num w:numId="57">
    <w:abstractNumId w:val="10"/>
  </w:num>
  <w:num w:numId="58">
    <w:abstractNumId w:val="4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efaultTableStyle w:val="TableGrid"/>
  <w:drawingGridHorizontalSpacing w:val="120"/>
  <w:displayHorizontalDrawingGridEvery w:val="0"/>
  <w:displayVerticalDrawingGridEvery w:val="0"/>
  <w:noPunctuationKerning/>
  <w:characterSpacingControl w:val="doNotCompress"/>
  <w:hdrShapeDefaults>
    <o:shapedefaults v:ext="edit" spidmax="2050" style="mso-position-vertical-relative:margin" fillcolor="#002395" stroke="f">
      <v:fill color="#002395"/>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REP"/>
  </w:docVars>
  <w:rsids>
    <w:rsidRoot w:val="00D63776"/>
    <w:rsid w:val="00000197"/>
    <w:rsid w:val="00001268"/>
    <w:rsid w:val="0000358B"/>
    <w:rsid w:val="000042F0"/>
    <w:rsid w:val="00007F09"/>
    <w:rsid w:val="00011885"/>
    <w:rsid w:val="00012209"/>
    <w:rsid w:val="00012C69"/>
    <w:rsid w:val="000144DF"/>
    <w:rsid w:val="00015413"/>
    <w:rsid w:val="00015874"/>
    <w:rsid w:val="00016BA9"/>
    <w:rsid w:val="0001748A"/>
    <w:rsid w:val="00021655"/>
    <w:rsid w:val="00021FFB"/>
    <w:rsid w:val="0002439A"/>
    <w:rsid w:val="000251BF"/>
    <w:rsid w:val="00026048"/>
    <w:rsid w:val="00026A4E"/>
    <w:rsid w:val="00030154"/>
    <w:rsid w:val="000301F9"/>
    <w:rsid w:val="00034520"/>
    <w:rsid w:val="0003531E"/>
    <w:rsid w:val="000373D4"/>
    <w:rsid w:val="000377E7"/>
    <w:rsid w:val="00041BB4"/>
    <w:rsid w:val="00041E23"/>
    <w:rsid w:val="000420DD"/>
    <w:rsid w:val="00050692"/>
    <w:rsid w:val="00052009"/>
    <w:rsid w:val="00052E08"/>
    <w:rsid w:val="000535B3"/>
    <w:rsid w:val="0005465E"/>
    <w:rsid w:val="00054C4E"/>
    <w:rsid w:val="0005648C"/>
    <w:rsid w:val="00056679"/>
    <w:rsid w:val="000566EB"/>
    <w:rsid w:val="000609F8"/>
    <w:rsid w:val="00060AC2"/>
    <w:rsid w:val="00060F0C"/>
    <w:rsid w:val="000624B2"/>
    <w:rsid w:val="00062C0B"/>
    <w:rsid w:val="00063EE3"/>
    <w:rsid w:val="00064E70"/>
    <w:rsid w:val="00065253"/>
    <w:rsid w:val="0006711A"/>
    <w:rsid w:val="00073841"/>
    <w:rsid w:val="0007462E"/>
    <w:rsid w:val="00080E5E"/>
    <w:rsid w:val="0008376B"/>
    <w:rsid w:val="000838AE"/>
    <w:rsid w:val="000846B0"/>
    <w:rsid w:val="00085C9F"/>
    <w:rsid w:val="00085FA6"/>
    <w:rsid w:val="00087438"/>
    <w:rsid w:val="00087B74"/>
    <w:rsid w:val="000900C6"/>
    <w:rsid w:val="000911D1"/>
    <w:rsid w:val="00092BA5"/>
    <w:rsid w:val="00093B9A"/>
    <w:rsid w:val="0009555A"/>
    <w:rsid w:val="000961B0"/>
    <w:rsid w:val="00096CE1"/>
    <w:rsid w:val="00097276"/>
    <w:rsid w:val="00097AC8"/>
    <w:rsid w:val="000A0AAB"/>
    <w:rsid w:val="000A142F"/>
    <w:rsid w:val="000A1A72"/>
    <w:rsid w:val="000A26C4"/>
    <w:rsid w:val="000A39CD"/>
    <w:rsid w:val="000A45A4"/>
    <w:rsid w:val="000A494C"/>
    <w:rsid w:val="000A4F4B"/>
    <w:rsid w:val="000A5212"/>
    <w:rsid w:val="000A7FCF"/>
    <w:rsid w:val="000B1A3C"/>
    <w:rsid w:val="000B1FFC"/>
    <w:rsid w:val="000B263E"/>
    <w:rsid w:val="000B3B9A"/>
    <w:rsid w:val="000B3E7A"/>
    <w:rsid w:val="000B62F1"/>
    <w:rsid w:val="000B6D93"/>
    <w:rsid w:val="000C0B91"/>
    <w:rsid w:val="000C2490"/>
    <w:rsid w:val="000C2614"/>
    <w:rsid w:val="000C2976"/>
    <w:rsid w:val="000C5348"/>
    <w:rsid w:val="000C6B32"/>
    <w:rsid w:val="000C72AF"/>
    <w:rsid w:val="000C7FC7"/>
    <w:rsid w:val="000D0673"/>
    <w:rsid w:val="000D17BE"/>
    <w:rsid w:val="000D1E25"/>
    <w:rsid w:val="000D203C"/>
    <w:rsid w:val="000D20F8"/>
    <w:rsid w:val="000D294E"/>
    <w:rsid w:val="000D2FE1"/>
    <w:rsid w:val="000D3670"/>
    <w:rsid w:val="000D4BCB"/>
    <w:rsid w:val="000D52C0"/>
    <w:rsid w:val="000D6659"/>
    <w:rsid w:val="000D6DE6"/>
    <w:rsid w:val="000D7EA4"/>
    <w:rsid w:val="000E09A7"/>
    <w:rsid w:val="000E204A"/>
    <w:rsid w:val="000E2787"/>
    <w:rsid w:val="000E3243"/>
    <w:rsid w:val="000E3377"/>
    <w:rsid w:val="000E367B"/>
    <w:rsid w:val="000E3739"/>
    <w:rsid w:val="000E3A6A"/>
    <w:rsid w:val="000E6BAA"/>
    <w:rsid w:val="000F0046"/>
    <w:rsid w:val="000F04CB"/>
    <w:rsid w:val="000F1813"/>
    <w:rsid w:val="000F1A0A"/>
    <w:rsid w:val="000F1D45"/>
    <w:rsid w:val="000F5DC5"/>
    <w:rsid w:val="000F7445"/>
    <w:rsid w:val="00103003"/>
    <w:rsid w:val="0010302C"/>
    <w:rsid w:val="00103182"/>
    <w:rsid w:val="0010339F"/>
    <w:rsid w:val="00104500"/>
    <w:rsid w:val="00105150"/>
    <w:rsid w:val="001053D1"/>
    <w:rsid w:val="00110B04"/>
    <w:rsid w:val="001116BC"/>
    <w:rsid w:val="00111F5D"/>
    <w:rsid w:val="00113E5D"/>
    <w:rsid w:val="0011489D"/>
    <w:rsid w:val="00114B49"/>
    <w:rsid w:val="00115A15"/>
    <w:rsid w:val="0011681E"/>
    <w:rsid w:val="00117D34"/>
    <w:rsid w:val="00121ECE"/>
    <w:rsid w:val="00122340"/>
    <w:rsid w:val="0012235E"/>
    <w:rsid w:val="00124539"/>
    <w:rsid w:val="00126785"/>
    <w:rsid w:val="00126A30"/>
    <w:rsid w:val="00126F4F"/>
    <w:rsid w:val="0012795F"/>
    <w:rsid w:val="00131BE7"/>
    <w:rsid w:val="00131C8E"/>
    <w:rsid w:val="001322E9"/>
    <w:rsid w:val="00132B2E"/>
    <w:rsid w:val="001336B9"/>
    <w:rsid w:val="00133CBC"/>
    <w:rsid w:val="00135915"/>
    <w:rsid w:val="00136138"/>
    <w:rsid w:val="00136E85"/>
    <w:rsid w:val="00141116"/>
    <w:rsid w:val="0014596A"/>
    <w:rsid w:val="001468A5"/>
    <w:rsid w:val="00150783"/>
    <w:rsid w:val="00151EDA"/>
    <w:rsid w:val="00152118"/>
    <w:rsid w:val="001523F7"/>
    <w:rsid w:val="0015275E"/>
    <w:rsid w:val="00152E52"/>
    <w:rsid w:val="001566CF"/>
    <w:rsid w:val="00156B01"/>
    <w:rsid w:val="0015763C"/>
    <w:rsid w:val="00157DAE"/>
    <w:rsid w:val="00160BB1"/>
    <w:rsid w:val="00161633"/>
    <w:rsid w:val="00163585"/>
    <w:rsid w:val="001636EC"/>
    <w:rsid w:val="00165D70"/>
    <w:rsid w:val="00166CC3"/>
    <w:rsid w:val="00167A31"/>
    <w:rsid w:val="00167F73"/>
    <w:rsid w:val="00170246"/>
    <w:rsid w:val="00172E15"/>
    <w:rsid w:val="001732B1"/>
    <w:rsid w:val="00174EC3"/>
    <w:rsid w:val="00175B5E"/>
    <w:rsid w:val="0018038C"/>
    <w:rsid w:val="00180895"/>
    <w:rsid w:val="001901AA"/>
    <w:rsid w:val="001913BC"/>
    <w:rsid w:val="00191DC9"/>
    <w:rsid w:val="00191E76"/>
    <w:rsid w:val="00192E80"/>
    <w:rsid w:val="0019362B"/>
    <w:rsid w:val="00195DD3"/>
    <w:rsid w:val="00196281"/>
    <w:rsid w:val="0019732A"/>
    <w:rsid w:val="001A00A2"/>
    <w:rsid w:val="001A0D41"/>
    <w:rsid w:val="001A3654"/>
    <w:rsid w:val="001A5DD1"/>
    <w:rsid w:val="001A6CCD"/>
    <w:rsid w:val="001B132E"/>
    <w:rsid w:val="001B5660"/>
    <w:rsid w:val="001B596F"/>
    <w:rsid w:val="001B6366"/>
    <w:rsid w:val="001C07CB"/>
    <w:rsid w:val="001C1808"/>
    <w:rsid w:val="001C2118"/>
    <w:rsid w:val="001C23D1"/>
    <w:rsid w:val="001C573C"/>
    <w:rsid w:val="001C5BB5"/>
    <w:rsid w:val="001C614B"/>
    <w:rsid w:val="001D1D3E"/>
    <w:rsid w:val="001D2401"/>
    <w:rsid w:val="001D2A06"/>
    <w:rsid w:val="001D2A51"/>
    <w:rsid w:val="001D33A8"/>
    <w:rsid w:val="001D4A4A"/>
    <w:rsid w:val="001E00B7"/>
    <w:rsid w:val="001E00C4"/>
    <w:rsid w:val="001E0547"/>
    <w:rsid w:val="001E3734"/>
    <w:rsid w:val="001E4F15"/>
    <w:rsid w:val="001E58D0"/>
    <w:rsid w:val="001E5D80"/>
    <w:rsid w:val="001E6AC6"/>
    <w:rsid w:val="001E76D8"/>
    <w:rsid w:val="001F1420"/>
    <w:rsid w:val="001F17EC"/>
    <w:rsid w:val="001F4BCD"/>
    <w:rsid w:val="001F4CB2"/>
    <w:rsid w:val="00200671"/>
    <w:rsid w:val="0020107B"/>
    <w:rsid w:val="00203347"/>
    <w:rsid w:val="00205FF4"/>
    <w:rsid w:val="002067A1"/>
    <w:rsid w:val="0020694A"/>
    <w:rsid w:val="00207285"/>
    <w:rsid w:val="00207BD6"/>
    <w:rsid w:val="0021201F"/>
    <w:rsid w:val="00212F0E"/>
    <w:rsid w:val="00213164"/>
    <w:rsid w:val="002131CB"/>
    <w:rsid w:val="00213234"/>
    <w:rsid w:val="00213AE8"/>
    <w:rsid w:val="0021423B"/>
    <w:rsid w:val="002146E5"/>
    <w:rsid w:val="00214FAE"/>
    <w:rsid w:val="002154D8"/>
    <w:rsid w:val="00215A57"/>
    <w:rsid w:val="00215FA5"/>
    <w:rsid w:val="00217C3C"/>
    <w:rsid w:val="00217D3C"/>
    <w:rsid w:val="002200B0"/>
    <w:rsid w:val="002203F3"/>
    <w:rsid w:val="002215CF"/>
    <w:rsid w:val="0022192A"/>
    <w:rsid w:val="00221BF6"/>
    <w:rsid w:val="00225290"/>
    <w:rsid w:val="00225BBC"/>
    <w:rsid w:val="00225C56"/>
    <w:rsid w:val="00231D60"/>
    <w:rsid w:val="00232CDB"/>
    <w:rsid w:val="00233250"/>
    <w:rsid w:val="00233F8B"/>
    <w:rsid w:val="00234AFB"/>
    <w:rsid w:val="002367E6"/>
    <w:rsid w:val="00237775"/>
    <w:rsid w:val="0024077E"/>
    <w:rsid w:val="00241A4D"/>
    <w:rsid w:val="00243782"/>
    <w:rsid w:val="0024477E"/>
    <w:rsid w:val="0025090F"/>
    <w:rsid w:val="0025325F"/>
    <w:rsid w:val="00255775"/>
    <w:rsid w:val="002562AD"/>
    <w:rsid w:val="00256C8F"/>
    <w:rsid w:val="00262623"/>
    <w:rsid w:val="00262AC7"/>
    <w:rsid w:val="00264B93"/>
    <w:rsid w:val="00266ED9"/>
    <w:rsid w:val="0026795B"/>
    <w:rsid w:val="00272D18"/>
    <w:rsid w:val="00275A5B"/>
    <w:rsid w:val="00277A20"/>
    <w:rsid w:val="00282256"/>
    <w:rsid w:val="00284BB0"/>
    <w:rsid w:val="00285A3C"/>
    <w:rsid w:val="00285BA2"/>
    <w:rsid w:val="00285FE4"/>
    <w:rsid w:val="0028622B"/>
    <w:rsid w:val="00292BE9"/>
    <w:rsid w:val="00292E14"/>
    <w:rsid w:val="00294374"/>
    <w:rsid w:val="0029556C"/>
    <w:rsid w:val="00296171"/>
    <w:rsid w:val="002973F1"/>
    <w:rsid w:val="002975D6"/>
    <w:rsid w:val="002A315B"/>
    <w:rsid w:val="002A4864"/>
    <w:rsid w:val="002A6BFA"/>
    <w:rsid w:val="002A726D"/>
    <w:rsid w:val="002A7500"/>
    <w:rsid w:val="002A7DB9"/>
    <w:rsid w:val="002B0079"/>
    <w:rsid w:val="002B0640"/>
    <w:rsid w:val="002B1114"/>
    <w:rsid w:val="002B1636"/>
    <w:rsid w:val="002B56D6"/>
    <w:rsid w:val="002B5BB8"/>
    <w:rsid w:val="002B6A01"/>
    <w:rsid w:val="002B716E"/>
    <w:rsid w:val="002C087A"/>
    <w:rsid w:val="002C263C"/>
    <w:rsid w:val="002C3295"/>
    <w:rsid w:val="002C4043"/>
    <w:rsid w:val="002C4926"/>
    <w:rsid w:val="002C4D74"/>
    <w:rsid w:val="002C5443"/>
    <w:rsid w:val="002C57D4"/>
    <w:rsid w:val="002D126F"/>
    <w:rsid w:val="002D1300"/>
    <w:rsid w:val="002D2482"/>
    <w:rsid w:val="002D2C3E"/>
    <w:rsid w:val="002D52C0"/>
    <w:rsid w:val="002D6A43"/>
    <w:rsid w:val="002D6E77"/>
    <w:rsid w:val="002E0743"/>
    <w:rsid w:val="002E2FBF"/>
    <w:rsid w:val="002E4128"/>
    <w:rsid w:val="002E4BA1"/>
    <w:rsid w:val="002E782C"/>
    <w:rsid w:val="002F1592"/>
    <w:rsid w:val="002F22C2"/>
    <w:rsid w:val="002F63F0"/>
    <w:rsid w:val="002F7C67"/>
    <w:rsid w:val="0030325A"/>
    <w:rsid w:val="00303A4A"/>
    <w:rsid w:val="00303E96"/>
    <w:rsid w:val="00304C6B"/>
    <w:rsid w:val="00306856"/>
    <w:rsid w:val="0031224D"/>
    <w:rsid w:val="003129AA"/>
    <w:rsid w:val="0031320E"/>
    <w:rsid w:val="00320676"/>
    <w:rsid w:val="00321A5B"/>
    <w:rsid w:val="00322124"/>
    <w:rsid w:val="00325CA3"/>
    <w:rsid w:val="003271E7"/>
    <w:rsid w:val="00327EA4"/>
    <w:rsid w:val="00331BA5"/>
    <w:rsid w:val="003324FE"/>
    <w:rsid w:val="00332760"/>
    <w:rsid w:val="00333F2B"/>
    <w:rsid w:val="00336024"/>
    <w:rsid w:val="00336194"/>
    <w:rsid w:val="00337603"/>
    <w:rsid w:val="00337CC9"/>
    <w:rsid w:val="003416C6"/>
    <w:rsid w:val="00341A58"/>
    <w:rsid w:val="00342414"/>
    <w:rsid w:val="0034518D"/>
    <w:rsid w:val="00346571"/>
    <w:rsid w:val="00350D85"/>
    <w:rsid w:val="00351CC1"/>
    <w:rsid w:val="00352BD3"/>
    <w:rsid w:val="00352CE2"/>
    <w:rsid w:val="003547A5"/>
    <w:rsid w:val="003552C1"/>
    <w:rsid w:val="003566D6"/>
    <w:rsid w:val="0036503C"/>
    <w:rsid w:val="003654B5"/>
    <w:rsid w:val="003662DA"/>
    <w:rsid w:val="00367149"/>
    <w:rsid w:val="00371BFD"/>
    <w:rsid w:val="003752F8"/>
    <w:rsid w:val="00375496"/>
    <w:rsid w:val="00375B2B"/>
    <w:rsid w:val="00380E0C"/>
    <w:rsid w:val="00382FF6"/>
    <w:rsid w:val="0038346B"/>
    <w:rsid w:val="0038553A"/>
    <w:rsid w:val="00387311"/>
    <w:rsid w:val="0039110A"/>
    <w:rsid w:val="003919E0"/>
    <w:rsid w:val="00393E56"/>
    <w:rsid w:val="00394035"/>
    <w:rsid w:val="0039477E"/>
    <w:rsid w:val="00394881"/>
    <w:rsid w:val="00396092"/>
    <w:rsid w:val="00396F29"/>
    <w:rsid w:val="00396F93"/>
    <w:rsid w:val="00396FB9"/>
    <w:rsid w:val="00397F87"/>
    <w:rsid w:val="003A024F"/>
    <w:rsid w:val="003A0335"/>
    <w:rsid w:val="003A0FEE"/>
    <w:rsid w:val="003A354B"/>
    <w:rsid w:val="003A356C"/>
    <w:rsid w:val="003A4251"/>
    <w:rsid w:val="003A43CA"/>
    <w:rsid w:val="003A4447"/>
    <w:rsid w:val="003A4B66"/>
    <w:rsid w:val="003A505E"/>
    <w:rsid w:val="003A5087"/>
    <w:rsid w:val="003B04C9"/>
    <w:rsid w:val="003B0CFD"/>
    <w:rsid w:val="003B1445"/>
    <w:rsid w:val="003B2AED"/>
    <w:rsid w:val="003B4315"/>
    <w:rsid w:val="003B54A9"/>
    <w:rsid w:val="003B60C6"/>
    <w:rsid w:val="003B6942"/>
    <w:rsid w:val="003B7188"/>
    <w:rsid w:val="003B7A61"/>
    <w:rsid w:val="003C054A"/>
    <w:rsid w:val="003C12BE"/>
    <w:rsid w:val="003C621C"/>
    <w:rsid w:val="003C76D5"/>
    <w:rsid w:val="003C7A25"/>
    <w:rsid w:val="003D0853"/>
    <w:rsid w:val="003D5E6E"/>
    <w:rsid w:val="003D6E0A"/>
    <w:rsid w:val="003D6FB2"/>
    <w:rsid w:val="003D7305"/>
    <w:rsid w:val="003E10BD"/>
    <w:rsid w:val="003E19CC"/>
    <w:rsid w:val="003E1C2A"/>
    <w:rsid w:val="003E1CCA"/>
    <w:rsid w:val="003E2368"/>
    <w:rsid w:val="003E32CC"/>
    <w:rsid w:val="003E36C4"/>
    <w:rsid w:val="003E5354"/>
    <w:rsid w:val="003E6EA4"/>
    <w:rsid w:val="003E6FE5"/>
    <w:rsid w:val="003F02EE"/>
    <w:rsid w:val="003F2173"/>
    <w:rsid w:val="003F2D22"/>
    <w:rsid w:val="003F39A6"/>
    <w:rsid w:val="003F52D4"/>
    <w:rsid w:val="003F5778"/>
    <w:rsid w:val="003F76DD"/>
    <w:rsid w:val="0040098B"/>
    <w:rsid w:val="004010EE"/>
    <w:rsid w:val="00403794"/>
    <w:rsid w:val="00404386"/>
    <w:rsid w:val="00404500"/>
    <w:rsid w:val="00404DEF"/>
    <w:rsid w:val="00405DA7"/>
    <w:rsid w:val="00407BD2"/>
    <w:rsid w:val="00411576"/>
    <w:rsid w:val="00413FF8"/>
    <w:rsid w:val="00414B34"/>
    <w:rsid w:val="0041550E"/>
    <w:rsid w:val="0041671B"/>
    <w:rsid w:val="00422F4F"/>
    <w:rsid w:val="0042481C"/>
    <w:rsid w:val="00425671"/>
    <w:rsid w:val="0043007A"/>
    <w:rsid w:val="00430977"/>
    <w:rsid w:val="004324C9"/>
    <w:rsid w:val="00434AC1"/>
    <w:rsid w:val="00436176"/>
    <w:rsid w:val="004402E2"/>
    <w:rsid w:val="00440E62"/>
    <w:rsid w:val="004418B6"/>
    <w:rsid w:val="00441CC6"/>
    <w:rsid w:val="004421A8"/>
    <w:rsid w:val="00442F05"/>
    <w:rsid w:val="004447F1"/>
    <w:rsid w:val="0044503B"/>
    <w:rsid w:val="00445372"/>
    <w:rsid w:val="00446295"/>
    <w:rsid w:val="00446D49"/>
    <w:rsid w:val="00446FD7"/>
    <w:rsid w:val="00452266"/>
    <w:rsid w:val="00452C31"/>
    <w:rsid w:val="0045365B"/>
    <w:rsid w:val="00453C38"/>
    <w:rsid w:val="00455233"/>
    <w:rsid w:val="00455A59"/>
    <w:rsid w:val="00456FC8"/>
    <w:rsid w:val="00460219"/>
    <w:rsid w:val="004608F9"/>
    <w:rsid w:val="00461601"/>
    <w:rsid w:val="00461D0A"/>
    <w:rsid w:val="00462166"/>
    <w:rsid w:val="00462BE9"/>
    <w:rsid w:val="00463181"/>
    <w:rsid w:val="004712A6"/>
    <w:rsid w:val="0047247A"/>
    <w:rsid w:val="00473A63"/>
    <w:rsid w:val="00474555"/>
    <w:rsid w:val="00475187"/>
    <w:rsid w:val="00476172"/>
    <w:rsid w:val="00476C8E"/>
    <w:rsid w:val="0047767F"/>
    <w:rsid w:val="00477E0F"/>
    <w:rsid w:val="0048034B"/>
    <w:rsid w:val="0048172E"/>
    <w:rsid w:val="0048197C"/>
    <w:rsid w:val="00481CE0"/>
    <w:rsid w:val="004830AF"/>
    <w:rsid w:val="00484348"/>
    <w:rsid w:val="004849C6"/>
    <w:rsid w:val="00485929"/>
    <w:rsid w:val="0048609E"/>
    <w:rsid w:val="004877CC"/>
    <w:rsid w:val="0049019F"/>
    <w:rsid w:val="0049093B"/>
    <w:rsid w:val="00491C3D"/>
    <w:rsid w:val="00492D6B"/>
    <w:rsid w:val="004952B4"/>
    <w:rsid w:val="00495F44"/>
    <w:rsid w:val="004962FC"/>
    <w:rsid w:val="00497F25"/>
    <w:rsid w:val="004A016A"/>
    <w:rsid w:val="004A25F4"/>
    <w:rsid w:val="004A3AE4"/>
    <w:rsid w:val="004A4C16"/>
    <w:rsid w:val="004A6099"/>
    <w:rsid w:val="004B02D6"/>
    <w:rsid w:val="004B1CFC"/>
    <w:rsid w:val="004B2323"/>
    <w:rsid w:val="004B378A"/>
    <w:rsid w:val="004B3A34"/>
    <w:rsid w:val="004B4CE0"/>
    <w:rsid w:val="004B4D19"/>
    <w:rsid w:val="004B4EA9"/>
    <w:rsid w:val="004B5677"/>
    <w:rsid w:val="004B7E4E"/>
    <w:rsid w:val="004C0C85"/>
    <w:rsid w:val="004C0EF7"/>
    <w:rsid w:val="004D0B75"/>
    <w:rsid w:val="004D115D"/>
    <w:rsid w:val="004D292A"/>
    <w:rsid w:val="004D364C"/>
    <w:rsid w:val="004D467C"/>
    <w:rsid w:val="004D5ABB"/>
    <w:rsid w:val="004E12D9"/>
    <w:rsid w:val="004E26FB"/>
    <w:rsid w:val="004E2EE5"/>
    <w:rsid w:val="004E4939"/>
    <w:rsid w:val="004E61E0"/>
    <w:rsid w:val="004E6E12"/>
    <w:rsid w:val="004F3AA3"/>
    <w:rsid w:val="004F4011"/>
    <w:rsid w:val="004F43BA"/>
    <w:rsid w:val="0050058D"/>
    <w:rsid w:val="00502B81"/>
    <w:rsid w:val="00502C55"/>
    <w:rsid w:val="00503DA8"/>
    <w:rsid w:val="005055E9"/>
    <w:rsid w:val="00506408"/>
    <w:rsid w:val="00506922"/>
    <w:rsid w:val="00506A19"/>
    <w:rsid w:val="005077DE"/>
    <w:rsid w:val="005109A6"/>
    <w:rsid w:val="00510DBB"/>
    <w:rsid w:val="00512295"/>
    <w:rsid w:val="00512D39"/>
    <w:rsid w:val="00515DAB"/>
    <w:rsid w:val="00515F27"/>
    <w:rsid w:val="0051645C"/>
    <w:rsid w:val="00520068"/>
    <w:rsid w:val="005210A6"/>
    <w:rsid w:val="0052155D"/>
    <w:rsid w:val="00521E5C"/>
    <w:rsid w:val="0052288C"/>
    <w:rsid w:val="00523665"/>
    <w:rsid w:val="00524785"/>
    <w:rsid w:val="00527358"/>
    <w:rsid w:val="005306BC"/>
    <w:rsid w:val="005315BE"/>
    <w:rsid w:val="00534536"/>
    <w:rsid w:val="00541C9B"/>
    <w:rsid w:val="00542908"/>
    <w:rsid w:val="00542D79"/>
    <w:rsid w:val="0054397B"/>
    <w:rsid w:val="005456DA"/>
    <w:rsid w:val="0054698A"/>
    <w:rsid w:val="00546A79"/>
    <w:rsid w:val="00547C0A"/>
    <w:rsid w:val="00550DCB"/>
    <w:rsid w:val="00551F34"/>
    <w:rsid w:val="0055434B"/>
    <w:rsid w:val="00556BD3"/>
    <w:rsid w:val="00556EA8"/>
    <w:rsid w:val="00557A4F"/>
    <w:rsid w:val="005602D1"/>
    <w:rsid w:val="00561732"/>
    <w:rsid w:val="00561D0F"/>
    <w:rsid w:val="00562A21"/>
    <w:rsid w:val="00564348"/>
    <w:rsid w:val="0056442A"/>
    <w:rsid w:val="00566D2B"/>
    <w:rsid w:val="00566DF2"/>
    <w:rsid w:val="005674A0"/>
    <w:rsid w:val="005677CD"/>
    <w:rsid w:val="00567E03"/>
    <w:rsid w:val="005723D3"/>
    <w:rsid w:val="00572D7F"/>
    <w:rsid w:val="005739D2"/>
    <w:rsid w:val="00576733"/>
    <w:rsid w:val="0057680B"/>
    <w:rsid w:val="00577EC6"/>
    <w:rsid w:val="005816A2"/>
    <w:rsid w:val="00582E52"/>
    <w:rsid w:val="005848E1"/>
    <w:rsid w:val="0058661E"/>
    <w:rsid w:val="00586999"/>
    <w:rsid w:val="005877FD"/>
    <w:rsid w:val="00587E64"/>
    <w:rsid w:val="0059044E"/>
    <w:rsid w:val="005911E1"/>
    <w:rsid w:val="00592685"/>
    <w:rsid w:val="00592CE9"/>
    <w:rsid w:val="005931F7"/>
    <w:rsid w:val="0059647E"/>
    <w:rsid w:val="00596F93"/>
    <w:rsid w:val="005A05EF"/>
    <w:rsid w:val="005A0EBA"/>
    <w:rsid w:val="005A1A90"/>
    <w:rsid w:val="005A496B"/>
    <w:rsid w:val="005A59E2"/>
    <w:rsid w:val="005B4538"/>
    <w:rsid w:val="005B5A25"/>
    <w:rsid w:val="005C16EF"/>
    <w:rsid w:val="005C177C"/>
    <w:rsid w:val="005C19D3"/>
    <w:rsid w:val="005C3ADE"/>
    <w:rsid w:val="005C6427"/>
    <w:rsid w:val="005C672B"/>
    <w:rsid w:val="005D2A64"/>
    <w:rsid w:val="005D3240"/>
    <w:rsid w:val="005D3340"/>
    <w:rsid w:val="005D51A6"/>
    <w:rsid w:val="005E4474"/>
    <w:rsid w:val="005E5C76"/>
    <w:rsid w:val="005E5F0F"/>
    <w:rsid w:val="005F07B8"/>
    <w:rsid w:val="005F1B3E"/>
    <w:rsid w:val="005F1C52"/>
    <w:rsid w:val="005F2317"/>
    <w:rsid w:val="005F2A76"/>
    <w:rsid w:val="005F4852"/>
    <w:rsid w:val="005F49D5"/>
    <w:rsid w:val="005F5773"/>
    <w:rsid w:val="005F6A46"/>
    <w:rsid w:val="005F7E45"/>
    <w:rsid w:val="006008F3"/>
    <w:rsid w:val="00601B08"/>
    <w:rsid w:val="00602312"/>
    <w:rsid w:val="00602427"/>
    <w:rsid w:val="00605453"/>
    <w:rsid w:val="00607589"/>
    <w:rsid w:val="00613904"/>
    <w:rsid w:val="006175DA"/>
    <w:rsid w:val="006178A1"/>
    <w:rsid w:val="00623C28"/>
    <w:rsid w:val="00623ED0"/>
    <w:rsid w:val="0062493B"/>
    <w:rsid w:val="00624C8B"/>
    <w:rsid w:val="00626C2D"/>
    <w:rsid w:val="006301D5"/>
    <w:rsid w:val="006309F7"/>
    <w:rsid w:val="00632398"/>
    <w:rsid w:val="00633774"/>
    <w:rsid w:val="00634581"/>
    <w:rsid w:val="0063570B"/>
    <w:rsid w:val="00635A9A"/>
    <w:rsid w:val="00636AFE"/>
    <w:rsid w:val="0063743F"/>
    <w:rsid w:val="00646C13"/>
    <w:rsid w:val="006472E0"/>
    <w:rsid w:val="00652020"/>
    <w:rsid w:val="00652C46"/>
    <w:rsid w:val="006540AC"/>
    <w:rsid w:val="0065433B"/>
    <w:rsid w:val="006547BA"/>
    <w:rsid w:val="00655AE5"/>
    <w:rsid w:val="00657386"/>
    <w:rsid w:val="00660F1F"/>
    <w:rsid w:val="00661140"/>
    <w:rsid w:val="006613C0"/>
    <w:rsid w:val="00663DA8"/>
    <w:rsid w:val="00664EA6"/>
    <w:rsid w:val="006678A2"/>
    <w:rsid w:val="00667EF5"/>
    <w:rsid w:val="006703D1"/>
    <w:rsid w:val="00671D5F"/>
    <w:rsid w:val="0067499C"/>
    <w:rsid w:val="006800C1"/>
    <w:rsid w:val="006830AB"/>
    <w:rsid w:val="0068390D"/>
    <w:rsid w:val="00683A59"/>
    <w:rsid w:val="00684691"/>
    <w:rsid w:val="006849FF"/>
    <w:rsid w:val="006871C9"/>
    <w:rsid w:val="006875E7"/>
    <w:rsid w:val="0069023B"/>
    <w:rsid w:val="00690DA5"/>
    <w:rsid w:val="00690E99"/>
    <w:rsid w:val="00691202"/>
    <w:rsid w:val="006914AD"/>
    <w:rsid w:val="00693978"/>
    <w:rsid w:val="006943F5"/>
    <w:rsid w:val="00694D59"/>
    <w:rsid w:val="00694FCE"/>
    <w:rsid w:val="006958FB"/>
    <w:rsid w:val="00696241"/>
    <w:rsid w:val="006978EF"/>
    <w:rsid w:val="006A41B0"/>
    <w:rsid w:val="006A6301"/>
    <w:rsid w:val="006B1919"/>
    <w:rsid w:val="006B2165"/>
    <w:rsid w:val="006B26AA"/>
    <w:rsid w:val="006B2DA8"/>
    <w:rsid w:val="006B40B7"/>
    <w:rsid w:val="006B78DD"/>
    <w:rsid w:val="006C22DA"/>
    <w:rsid w:val="006C43D8"/>
    <w:rsid w:val="006C440B"/>
    <w:rsid w:val="006C5D56"/>
    <w:rsid w:val="006C7ACE"/>
    <w:rsid w:val="006D13C5"/>
    <w:rsid w:val="006D18D8"/>
    <w:rsid w:val="006D578F"/>
    <w:rsid w:val="006D5C2F"/>
    <w:rsid w:val="006D65F5"/>
    <w:rsid w:val="006E1DA1"/>
    <w:rsid w:val="006E22F8"/>
    <w:rsid w:val="006E23A8"/>
    <w:rsid w:val="006E2AF3"/>
    <w:rsid w:val="006E3EF7"/>
    <w:rsid w:val="006E48B7"/>
    <w:rsid w:val="006E785B"/>
    <w:rsid w:val="006E78C4"/>
    <w:rsid w:val="006F2058"/>
    <w:rsid w:val="006F27FA"/>
    <w:rsid w:val="006F3042"/>
    <w:rsid w:val="006F54E4"/>
    <w:rsid w:val="006F738D"/>
    <w:rsid w:val="00700F06"/>
    <w:rsid w:val="0070245E"/>
    <w:rsid w:val="007024A6"/>
    <w:rsid w:val="00703225"/>
    <w:rsid w:val="00703D86"/>
    <w:rsid w:val="007064BE"/>
    <w:rsid w:val="00706BF9"/>
    <w:rsid w:val="00707F5B"/>
    <w:rsid w:val="00711500"/>
    <w:rsid w:val="00711DEC"/>
    <w:rsid w:val="0071242D"/>
    <w:rsid w:val="00712AA2"/>
    <w:rsid w:val="00713494"/>
    <w:rsid w:val="00715F11"/>
    <w:rsid w:val="007172F5"/>
    <w:rsid w:val="007211BE"/>
    <w:rsid w:val="00722187"/>
    <w:rsid w:val="00722CE7"/>
    <w:rsid w:val="00727A3A"/>
    <w:rsid w:val="0073077E"/>
    <w:rsid w:val="0073277C"/>
    <w:rsid w:val="007339CA"/>
    <w:rsid w:val="00733D91"/>
    <w:rsid w:val="007354C7"/>
    <w:rsid w:val="0073793A"/>
    <w:rsid w:val="007379D4"/>
    <w:rsid w:val="00740352"/>
    <w:rsid w:val="00742412"/>
    <w:rsid w:val="007478FD"/>
    <w:rsid w:val="007505FE"/>
    <w:rsid w:val="00750A84"/>
    <w:rsid w:val="007513C7"/>
    <w:rsid w:val="007514FF"/>
    <w:rsid w:val="00752C6F"/>
    <w:rsid w:val="00756A5D"/>
    <w:rsid w:val="007575A7"/>
    <w:rsid w:val="007615CA"/>
    <w:rsid w:val="00761BAE"/>
    <w:rsid w:val="00764442"/>
    <w:rsid w:val="00764925"/>
    <w:rsid w:val="00764BC2"/>
    <w:rsid w:val="00765621"/>
    <w:rsid w:val="0077023A"/>
    <w:rsid w:val="0077107D"/>
    <w:rsid w:val="00772E27"/>
    <w:rsid w:val="00773036"/>
    <w:rsid w:val="00774859"/>
    <w:rsid w:val="00775462"/>
    <w:rsid w:val="00775657"/>
    <w:rsid w:val="00775A0E"/>
    <w:rsid w:val="00776912"/>
    <w:rsid w:val="00781294"/>
    <w:rsid w:val="007829F7"/>
    <w:rsid w:val="00784819"/>
    <w:rsid w:val="00784E96"/>
    <w:rsid w:val="0078509A"/>
    <w:rsid w:val="00785BBE"/>
    <w:rsid w:val="00785D4A"/>
    <w:rsid w:val="0078790F"/>
    <w:rsid w:val="0079010D"/>
    <w:rsid w:val="00790A37"/>
    <w:rsid w:val="0079364D"/>
    <w:rsid w:val="00794075"/>
    <w:rsid w:val="0079468E"/>
    <w:rsid w:val="00794A84"/>
    <w:rsid w:val="00794AD0"/>
    <w:rsid w:val="007A0562"/>
    <w:rsid w:val="007A0E3E"/>
    <w:rsid w:val="007A1604"/>
    <w:rsid w:val="007A1DF4"/>
    <w:rsid w:val="007A3202"/>
    <w:rsid w:val="007A333A"/>
    <w:rsid w:val="007A4813"/>
    <w:rsid w:val="007A535F"/>
    <w:rsid w:val="007A62E4"/>
    <w:rsid w:val="007A6404"/>
    <w:rsid w:val="007A772C"/>
    <w:rsid w:val="007A7FE5"/>
    <w:rsid w:val="007B134E"/>
    <w:rsid w:val="007B1443"/>
    <w:rsid w:val="007B2AA1"/>
    <w:rsid w:val="007B2AB4"/>
    <w:rsid w:val="007B36F7"/>
    <w:rsid w:val="007B44DF"/>
    <w:rsid w:val="007B5897"/>
    <w:rsid w:val="007B68FD"/>
    <w:rsid w:val="007C0ACB"/>
    <w:rsid w:val="007C1114"/>
    <w:rsid w:val="007C1A5E"/>
    <w:rsid w:val="007C2E5D"/>
    <w:rsid w:val="007C40A7"/>
    <w:rsid w:val="007C5002"/>
    <w:rsid w:val="007C5D3E"/>
    <w:rsid w:val="007C7891"/>
    <w:rsid w:val="007C7C13"/>
    <w:rsid w:val="007D1CD6"/>
    <w:rsid w:val="007D2A2B"/>
    <w:rsid w:val="007D2C54"/>
    <w:rsid w:val="007D46C5"/>
    <w:rsid w:val="007D4E06"/>
    <w:rsid w:val="007D4EC3"/>
    <w:rsid w:val="007D57FE"/>
    <w:rsid w:val="007D69DE"/>
    <w:rsid w:val="007D78D3"/>
    <w:rsid w:val="007E611E"/>
    <w:rsid w:val="007E7290"/>
    <w:rsid w:val="007F0822"/>
    <w:rsid w:val="007F1025"/>
    <w:rsid w:val="007F11B8"/>
    <w:rsid w:val="007F1BBA"/>
    <w:rsid w:val="007F259C"/>
    <w:rsid w:val="007F3473"/>
    <w:rsid w:val="00800CC5"/>
    <w:rsid w:val="00801615"/>
    <w:rsid w:val="00801EB4"/>
    <w:rsid w:val="00804AF3"/>
    <w:rsid w:val="008056FA"/>
    <w:rsid w:val="00812490"/>
    <w:rsid w:val="00817A7F"/>
    <w:rsid w:val="008218E9"/>
    <w:rsid w:val="00821A1C"/>
    <w:rsid w:val="008227C7"/>
    <w:rsid w:val="0082430A"/>
    <w:rsid w:val="00824599"/>
    <w:rsid w:val="00824FCF"/>
    <w:rsid w:val="00825A95"/>
    <w:rsid w:val="008318CE"/>
    <w:rsid w:val="00831E7F"/>
    <w:rsid w:val="00832D56"/>
    <w:rsid w:val="00836E1B"/>
    <w:rsid w:val="00837120"/>
    <w:rsid w:val="008406AE"/>
    <w:rsid w:val="00841928"/>
    <w:rsid w:val="00841A91"/>
    <w:rsid w:val="00841DEC"/>
    <w:rsid w:val="00844512"/>
    <w:rsid w:val="00844BA2"/>
    <w:rsid w:val="00844C9C"/>
    <w:rsid w:val="00845B29"/>
    <w:rsid w:val="008468FE"/>
    <w:rsid w:val="00847A11"/>
    <w:rsid w:val="00850D35"/>
    <w:rsid w:val="00852A36"/>
    <w:rsid w:val="00853476"/>
    <w:rsid w:val="00856E0E"/>
    <w:rsid w:val="00860035"/>
    <w:rsid w:val="00862145"/>
    <w:rsid w:val="008657B1"/>
    <w:rsid w:val="0086757F"/>
    <w:rsid w:val="00870315"/>
    <w:rsid w:val="00870946"/>
    <w:rsid w:val="00870C4B"/>
    <w:rsid w:val="00871928"/>
    <w:rsid w:val="008720BD"/>
    <w:rsid w:val="008724C6"/>
    <w:rsid w:val="00873F67"/>
    <w:rsid w:val="00875C2A"/>
    <w:rsid w:val="008802E7"/>
    <w:rsid w:val="008805B1"/>
    <w:rsid w:val="0088085C"/>
    <w:rsid w:val="00883045"/>
    <w:rsid w:val="008841C9"/>
    <w:rsid w:val="00885ECC"/>
    <w:rsid w:val="00892124"/>
    <w:rsid w:val="008923E0"/>
    <w:rsid w:val="00892A92"/>
    <w:rsid w:val="008939A6"/>
    <w:rsid w:val="00895231"/>
    <w:rsid w:val="00896466"/>
    <w:rsid w:val="008A0778"/>
    <w:rsid w:val="008A0868"/>
    <w:rsid w:val="008A155D"/>
    <w:rsid w:val="008A15DD"/>
    <w:rsid w:val="008A18F3"/>
    <w:rsid w:val="008A1ED5"/>
    <w:rsid w:val="008A30B4"/>
    <w:rsid w:val="008B0047"/>
    <w:rsid w:val="008B0533"/>
    <w:rsid w:val="008B0FCF"/>
    <w:rsid w:val="008B2814"/>
    <w:rsid w:val="008B39FF"/>
    <w:rsid w:val="008B3B92"/>
    <w:rsid w:val="008B3D89"/>
    <w:rsid w:val="008B6702"/>
    <w:rsid w:val="008B7ABA"/>
    <w:rsid w:val="008C037B"/>
    <w:rsid w:val="008C12A5"/>
    <w:rsid w:val="008C29AF"/>
    <w:rsid w:val="008C5552"/>
    <w:rsid w:val="008C59A5"/>
    <w:rsid w:val="008C61ED"/>
    <w:rsid w:val="008C6C2C"/>
    <w:rsid w:val="008D0252"/>
    <w:rsid w:val="008D1F10"/>
    <w:rsid w:val="008D34B1"/>
    <w:rsid w:val="008D3ADA"/>
    <w:rsid w:val="008D6060"/>
    <w:rsid w:val="008D744B"/>
    <w:rsid w:val="008E01D6"/>
    <w:rsid w:val="008E3BEA"/>
    <w:rsid w:val="008E4944"/>
    <w:rsid w:val="008E4D62"/>
    <w:rsid w:val="008E602D"/>
    <w:rsid w:val="008E69AB"/>
    <w:rsid w:val="008E74E2"/>
    <w:rsid w:val="008F00F3"/>
    <w:rsid w:val="008F09C8"/>
    <w:rsid w:val="008F1324"/>
    <w:rsid w:val="008F1526"/>
    <w:rsid w:val="008F2341"/>
    <w:rsid w:val="008F385E"/>
    <w:rsid w:val="008F3904"/>
    <w:rsid w:val="008F3CD2"/>
    <w:rsid w:val="008F5CB4"/>
    <w:rsid w:val="008F6C74"/>
    <w:rsid w:val="008F72CC"/>
    <w:rsid w:val="008F739E"/>
    <w:rsid w:val="008F75F2"/>
    <w:rsid w:val="00901B77"/>
    <w:rsid w:val="009020E9"/>
    <w:rsid w:val="00902231"/>
    <w:rsid w:val="0090422C"/>
    <w:rsid w:val="0090434E"/>
    <w:rsid w:val="00904A0C"/>
    <w:rsid w:val="0090570A"/>
    <w:rsid w:val="00906AAA"/>
    <w:rsid w:val="00910BEB"/>
    <w:rsid w:val="00912FFD"/>
    <w:rsid w:val="00913C05"/>
    <w:rsid w:val="009148C1"/>
    <w:rsid w:val="00916751"/>
    <w:rsid w:val="00917C21"/>
    <w:rsid w:val="009204DD"/>
    <w:rsid w:val="00921733"/>
    <w:rsid w:val="00921768"/>
    <w:rsid w:val="00922CD8"/>
    <w:rsid w:val="00922E41"/>
    <w:rsid w:val="009233D1"/>
    <w:rsid w:val="00923DAD"/>
    <w:rsid w:val="009241B0"/>
    <w:rsid w:val="009244CA"/>
    <w:rsid w:val="009251A7"/>
    <w:rsid w:val="00925BB3"/>
    <w:rsid w:val="0092749B"/>
    <w:rsid w:val="00931E7A"/>
    <w:rsid w:val="00932695"/>
    <w:rsid w:val="00932C35"/>
    <w:rsid w:val="00933471"/>
    <w:rsid w:val="0093442A"/>
    <w:rsid w:val="009349E8"/>
    <w:rsid w:val="00934CF3"/>
    <w:rsid w:val="009356D2"/>
    <w:rsid w:val="009370CD"/>
    <w:rsid w:val="0094145E"/>
    <w:rsid w:val="009430AC"/>
    <w:rsid w:val="00943761"/>
    <w:rsid w:val="00943789"/>
    <w:rsid w:val="00943DD1"/>
    <w:rsid w:val="0094511A"/>
    <w:rsid w:val="009463FC"/>
    <w:rsid w:val="0095114E"/>
    <w:rsid w:val="0095201B"/>
    <w:rsid w:val="009532B1"/>
    <w:rsid w:val="00953803"/>
    <w:rsid w:val="0095438B"/>
    <w:rsid w:val="009562C7"/>
    <w:rsid w:val="00956FBF"/>
    <w:rsid w:val="00961945"/>
    <w:rsid w:val="00962B0B"/>
    <w:rsid w:val="00962DD9"/>
    <w:rsid w:val="00962FA9"/>
    <w:rsid w:val="009631C0"/>
    <w:rsid w:val="00965B22"/>
    <w:rsid w:val="0096616A"/>
    <w:rsid w:val="009669B3"/>
    <w:rsid w:val="0096722A"/>
    <w:rsid w:val="00971D2B"/>
    <w:rsid w:val="00971E70"/>
    <w:rsid w:val="00972284"/>
    <w:rsid w:val="00972EE7"/>
    <w:rsid w:val="00974B70"/>
    <w:rsid w:val="009773BC"/>
    <w:rsid w:val="00985CE3"/>
    <w:rsid w:val="00985EE3"/>
    <w:rsid w:val="00985F02"/>
    <w:rsid w:val="009874D0"/>
    <w:rsid w:val="00991E80"/>
    <w:rsid w:val="00992059"/>
    <w:rsid w:val="009928F8"/>
    <w:rsid w:val="00995321"/>
    <w:rsid w:val="00997F66"/>
    <w:rsid w:val="009A0B23"/>
    <w:rsid w:val="009A2B6A"/>
    <w:rsid w:val="009A47D8"/>
    <w:rsid w:val="009A4F62"/>
    <w:rsid w:val="009A581F"/>
    <w:rsid w:val="009A6238"/>
    <w:rsid w:val="009B20E5"/>
    <w:rsid w:val="009B3D43"/>
    <w:rsid w:val="009B453B"/>
    <w:rsid w:val="009B6318"/>
    <w:rsid w:val="009B68E4"/>
    <w:rsid w:val="009B70E5"/>
    <w:rsid w:val="009B7AC8"/>
    <w:rsid w:val="009C128A"/>
    <w:rsid w:val="009C2F83"/>
    <w:rsid w:val="009C32EF"/>
    <w:rsid w:val="009C7F27"/>
    <w:rsid w:val="009D0DE3"/>
    <w:rsid w:val="009D4441"/>
    <w:rsid w:val="009E041C"/>
    <w:rsid w:val="009E1721"/>
    <w:rsid w:val="009E4EF3"/>
    <w:rsid w:val="009E534A"/>
    <w:rsid w:val="009E726F"/>
    <w:rsid w:val="009F0AFD"/>
    <w:rsid w:val="009F4783"/>
    <w:rsid w:val="009F59AA"/>
    <w:rsid w:val="009F6645"/>
    <w:rsid w:val="009F7560"/>
    <w:rsid w:val="00A01352"/>
    <w:rsid w:val="00A0450A"/>
    <w:rsid w:val="00A054A5"/>
    <w:rsid w:val="00A113DE"/>
    <w:rsid w:val="00A12886"/>
    <w:rsid w:val="00A14949"/>
    <w:rsid w:val="00A14BD8"/>
    <w:rsid w:val="00A15D8A"/>
    <w:rsid w:val="00A167B2"/>
    <w:rsid w:val="00A20D7A"/>
    <w:rsid w:val="00A20FF6"/>
    <w:rsid w:val="00A223AA"/>
    <w:rsid w:val="00A23822"/>
    <w:rsid w:val="00A255FF"/>
    <w:rsid w:val="00A25AE9"/>
    <w:rsid w:val="00A25BEB"/>
    <w:rsid w:val="00A30C2E"/>
    <w:rsid w:val="00A321F1"/>
    <w:rsid w:val="00A33338"/>
    <w:rsid w:val="00A35CD3"/>
    <w:rsid w:val="00A36AFF"/>
    <w:rsid w:val="00A44500"/>
    <w:rsid w:val="00A44841"/>
    <w:rsid w:val="00A46DDD"/>
    <w:rsid w:val="00A4734B"/>
    <w:rsid w:val="00A4746C"/>
    <w:rsid w:val="00A50808"/>
    <w:rsid w:val="00A50B9A"/>
    <w:rsid w:val="00A50D25"/>
    <w:rsid w:val="00A52B99"/>
    <w:rsid w:val="00A53283"/>
    <w:rsid w:val="00A541B8"/>
    <w:rsid w:val="00A55E42"/>
    <w:rsid w:val="00A560BF"/>
    <w:rsid w:val="00A60EAA"/>
    <w:rsid w:val="00A61AFD"/>
    <w:rsid w:val="00A64AED"/>
    <w:rsid w:val="00A654C7"/>
    <w:rsid w:val="00A665B3"/>
    <w:rsid w:val="00A72060"/>
    <w:rsid w:val="00A72BF4"/>
    <w:rsid w:val="00A73378"/>
    <w:rsid w:val="00A74119"/>
    <w:rsid w:val="00A76277"/>
    <w:rsid w:val="00A76AD7"/>
    <w:rsid w:val="00A77243"/>
    <w:rsid w:val="00A7782D"/>
    <w:rsid w:val="00A81144"/>
    <w:rsid w:val="00A87C4F"/>
    <w:rsid w:val="00A911A4"/>
    <w:rsid w:val="00A92E21"/>
    <w:rsid w:val="00A943DB"/>
    <w:rsid w:val="00AA1847"/>
    <w:rsid w:val="00AA24C0"/>
    <w:rsid w:val="00AA4227"/>
    <w:rsid w:val="00AA7E11"/>
    <w:rsid w:val="00AA7E68"/>
    <w:rsid w:val="00AB0BD7"/>
    <w:rsid w:val="00AB1329"/>
    <w:rsid w:val="00AB1FD8"/>
    <w:rsid w:val="00AB6965"/>
    <w:rsid w:val="00AB702D"/>
    <w:rsid w:val="00AC0F42"/>
    <w:rsid w:val="00AC1C9B"/>
    <w:rsid w:val="00AC2997"/>
    <w:rsid w:val="00AC2A77"/>
    <w:rsid w:val="00AC3200"/>
    <w:rsid w:val="00AC42EC"/>
    <w:rsid w:val="00AC5C0D"/>
    <w:rsid w:val="00AC69B1"/>
    <w:rsid w:val="00AC6BBC"/>
    <w:rsid w:val="00AC701F"/>
    <w:rsid w:val="00AD13A8"/>
    <w:rsid w:val="00AD2EA1"/>
    <w:rsid w:val="00AD4D4B"/>
    <w:rsid w:val="00AD5CA9"/>
    <w:rsid w:val="00AE0E83"/>
    <w:rsid w:val="00AE1907"/>
    <w:rsid w:val="00AE318C"/>
    <w:rsid w:val="00AE52A4"/>
    <w:rsid w:val="00AE6062"/>
    <w:rsid w:val="00AE7C03"/>
    <w:rsid w:val="00AF0006"/>
    <w:rsid w:val="00AF2890"/>
    <w:rsid w:val="00AF4818"/>
    <w:rsid w:val="00AF4B7D"/>
    <w:rsid w:val="00AF6C9E"/>
    <w:rsid w:val="00AF6D6E"/>
    <w:rsid w:val="00AF7B1F"/>
    <w:rsid w:val="00AF7BF6"/>
    <w:rsid w:val="00B02DA5"/>
    <w:rsid w:val="00B04713"/>
    <w:rsid w:val="00B04F7B"/>
    <w:rsid w:val="00B0599B"/>
    <w:rsid w:val="00B07683"/>
    <w:rsid w:val="00B076DE"/>
    <w:rsid w:val="00B10CBC"/>
    <w:rsid w:val="00B1217E"/>
    <w:rsid w:val="00B122D1"/>
    <w:rsid w:val="00B12480"/>
    <w:rsid w:val="00B12C93"/>
    <w:rsid w:val="00B14205"/>
    <w:rsid w:val="00B1454A"/>
    <w:rsid w:val="00B14B41"/>
    <w:rsid w:val="00B14CD0"/>
    <w:rsid w:val="00B15429"/>
    <w:rsid w:val="00B154F5"/>
    <w:rsid w:val="00B155F2"/>
    <w:rsid w:val="00B1638C"/>
    <w:rsid w:val="00B169B8"/>
    <w:rsid w:val="00B21726"/>
    <w:rsid w:val="00B2177D"/>
    <w:rsid w:val="00B21973"/>
    <w:rsid w:val="00B245A4"/>
    <w:rsid w:val="00B24D10"/>
    <w:rsid w:val="00B31214"/>
    <w:rsid w:val="00B3194E"/>
    <w:rsid w:val="00B323AC"/>
    <w:rsid w:val="00B3378D"/>
    <w:rsid w:val="00B33E6F"/>
    <w:rsid w:val="00B37401"/>
    <w:rsid w:val="00B419EE"/>
    <w:rsid w:val="00B42527"/>
    <w:rsid w:val="00B42561"/>
    <w:rsid w:val="00B425C0"/>
    <w:rsid w:val="00B433C5"/>
    <w:rsid w:val="00B435CB"/>
    <w:rsid w:val="00B435F6"/>
    <w:rsid w:val="00B4388C"/>
    <w:rsid w:val="00B439E1"/>
    <w:rsid w:val="00B43C8F"/>
    <w:rsid w:val="00B43EBE"/>
    <w:rsid w:val="00B45058"/>
    <w:rsid w:val="00B463E6"/>
    <w:rsid w:val="00B505E8"/>
    <w:rsid w:val="00B51B8C"/>
    <w:rsid w:val="00B51E4F"/>
    <w:rsid w:val="00B56399"/>
    <w:rsid w:val="00B56E62"/>
    <w:rsid w:val="00B571AC"/>
    <w:rsid w:val="00B631A9"/>
    <w:rsid w:val="00B632C0"/>
    <w:rsid w:val="00B63746"/>
    <w:rsid w:val="00B6499E"/>
    <w:rsid w:val="00B67611"/>
    <w:rsid w:val="00B67936"/>
    <w:rsid w:val="00B70283"/>
    <w:rsid w:val="00B70D46"/>
    <w:rsid w:val="00B734C4"/>
    <w:rsid w:val="00B73E86"/>
    <w:rsid w:val="00B75DF6"/>
    <w:rsid w:val="00B75F0B"/>
    <w:rsid w:val="00B75F6C"/>
    <w:rsid w:val="00B80597"/>
    <w:rsid w:val="00B809DE"/>
    <w:rsid w:val="00B863CE"/>
    <w:rsid w:val="00B9193E"/>
    <w:rsid w:val="00B93AED"/>
    <w:rsid w:val="00B945F7"/>
    <w:rsid w:val="00B94941"/>
    <w:rsid w:val="00B95205"/>
    <w:rsid w:val="00B956B9"/>
    <w:rsid w:val="00B97CAD"/>
    <w:rsid w:val="00BA369B"/>
    <w:rsid w:val="00BA62BA"/>
    <w:rsid w:val="00BA6450"/>
    <w:rsid w:val="00BA6794"/>
    <w:rsid w:val="00BB011C"/>
    <w:rsid w:val="00BB1E59"/>
    <w:rsid w:val="00BB2397"/>
    <w:rsid w:val="00BB288E"/>
    <w:rsid w:val="00BB3CD1"/>
    <w:rsid w:val="00BB43F0"/>
    <w:rsid w:val="00BB5C45"/>
    <w:rsid w:val="00BB6921"/>
    <w:rsid w:val="00BB7AE6"/>
    <w:rsid w:val="00BC1E90"/>
    <w:rsid w:val="00BC2755"/>
    <w:rsid w:val="00BC399D"/>
    <w:rsid w:val="00BD1BF0"/>
    <w:rsid w:val="00BD1FAC"/>
    <w:rsid w:val="00BD42ED"/>
    <w:rsid w:val="00BD4547"/>
    <w:rsid w:val="00BD6EBA"/>
    <w:rsid w:val="00BD7858"/>
    <w:rsid w:val="00BE1777"/>
    <w:rsid w:val="00BE1867"/>
    <w:rsid w:val="00BE447E"/>
    <w:rsid w:val="00BE5264"/>
    <w:rsid w:val="00BE55E6"/>
    <w:rsid w:val="00BE798B"/>
    <w:rsid w:val="00BE7E2D"/>
    <w:rsid w:val="00BF0E3B"/>
    <w:rsid w:val="00BF1682"/>
    <w:rsid w:val="00BF19A4"/>
    <w:rsid w:val="00BF2160"/>
    <w:rsid w:val="00BF256E"/>
    <w:rsid w:val="00BF41E0"/>
    <w:rsid w:val="00BF4C42"/>
    <w:rsid w:val="00BF5AA8"/>
    <w:rsid w:val="00BF6AA3"/>
    <w:rsid w:val="00BF6CCA"/>
    <w:rsid w:val="00BF7325"/>
    <w:rsid w:val="00C012E5"/>
    <w:rsid w:val="00C02386"/>
    <w:rsid w:val="00C026B8"/>
    <w:rsid w:val="00C042DD"/>
    <w:rsid w:val="00C0507D"/>
    <w:rsid w:val="00C07B71"/>
    <w:rsid w:val="00C10C0F"/>
    <w:rsid w:val="00C130B1"/>
    <w:rsid w:val="00C13690"/>
    <w:rsid w:val="00C13FFF"/>
    <w:rsid w:val="00C15E70"/>
    <w:rsid w:val="00C17690"/>
    <w:rsid w:val="00C17F65"/>
    <w:rsid w:val="00C20711"/>
    <w:rsid w:val="00C20B2B"/>
    <w:rsid w:val="00C24AD2"/>
    <w:rsid w:val="00C25917"/>
    <w:rsid w:val="00C2637F"/>
    <w:rsid w:val="00C32AA2"/>
    <w:rsid w:val="00C3463C"/>
    <w:rsid w:val="00C4085F"/>
    <w:rsid w:val="00C43599"/>
    <w:rsid w:val="00C44097"/>
    <w:rsid w:val="00C46A5B"/>
    <w:rsid w:val="00C5042A"/>
    <w:rsid w:val="00C504C2"/>
    <w:rsid w:val="00C50A94"/>
    <w:rsid w:val="00C512C5"/>
    <w:rsid w:val="00C53E5D"/>
    <w:rsid w:val="00C54B3E"/>
    <w:rsid w:val="00C57D4B"/>
    <w:rsid w:val="00C60086"/>
    <w:rsid w:val="00C60E10"/>
    <w:rsid w:val="00C62D07"/>
    <w:rsid w:val="00C635D4"/>
    <w:rsid w:val="00C65E6B"/>
    <w:rsid w:val="00C664FD"/>
    <w:rsid w:val="00C6750E"/>
    <w:rsid w:val="00C67716"/>
    <w:rsid w:val="00C67E16"/>
    <w:rsid w:val="00C706C2"/>
    <w:rsid w:val="00C7115B"/>
    <w:rsid w:val="00C7494D"/>
    <w:rsid w:val="00C754DC"/>
    <w:rsid w:val="00C762D8"/>
    <w:rsid w:val="00C77F56"/>
    <w:rsid w:val="00C851C6"/>
    <w:rsid w:val="00C85212"/>
    <w:rsid w:val="00C85BD0"/>
    <w:rsid w:val="00C86CEE"/>
    <w:rsid w:val="00C86EE4"/>
    <w:rsid w:val="00C90C14"/>
    <w:rsid w:val="00C9199D"/>
    <w:rsid w:val="00C934CB"/>
    <w:rsid w:val="00C94311"/>
    <w:rsid w:val="00C94D59"/>
    <w:rsid w:val="00CA0164"/>
    <w:rsid w:val="00CA02D1"/>
    <w:rsid w:val="00CA0655"/>
    <w:rsid w:val="00CA234C"/>
    <w:rsid w:val="00CA2ABB"/>
    <w:rsid w:val="00CA63EA"/>
    <w:rsid w:val="00CA6722"/>
    <w:rsid w:val="00CA7CD9"/>
    <w:rsid w:val="00CB17F2"/>
    <w:rsid w:val="00CB235F"/>
    <w:rsid w:val="00CB27B1"/>
    <w:rsid w:val="00CB2D82"/>
    <w:rsid w:val="00CB5622"/>
    <w:rsid w:val="00CB6B9E"/>
    <w:rsid w:val="00CC02D7"/>
    <w:rsid w:val="00CC1275"/>
    <w:rsid w:val="00CC1612"/>
    <w:rsid w:val="00CC45F8"/>
    <w:rsid w:val="00CC5B54"/>
    <w:rsid w:val="00CC62B7"/>
    <w:rsid w:val="00CC676D"/>
    <w:rsid w:val="00CC6DE1"/>
    <w:rsid w:val="00CC7008"/>
    <w:rsid w:val="00CD08CF"/>
    <w:rsid w:val="00CD17BA"/>
    <w:rsid w:val="00CD4223"/>
    <w:rsid w:val="00CD7537"/>
    <w:rsid w:val="00CE11C2"/>
    <w:rsid w:val="00CE2A0B"/>
    <w:rsid w:val="00CE3DEA"/>
    <w:rsid w:val="00CE5E07"/>
    <w:rsid w:val="00CF0228"/>
    <w:rsid w:val="00CF0A29"/>
    <w:rsid w:val="00CF1237"/>
    <w:rsid w:val="00CF3111"/>
    <w:rsid w:val="00D01759"/>
    <w:rsid w:val="00D018BD"/>
    <w:rsid w:val="00D02BAF"/>
    <w:rsid w:val="00D06BC8"/>
    <w:rsid w:val="00D10450"/>
    <w:rsid w:val="00D12875"/>
    <w:rsid w:val="00D1585F"/>
    <w:rsid w:val="00D16182"/>
    <w:rsid w:val="00D16E5B"/>
    <w:rsid w:val="00D1754B"/>
    <w:rsid w:val="00D205AA"/>
    <w:rsid w:val="00D21395"/>
    <w:rsid w:val="00D222D4"/>
    <w:rsid w:val="00D22FB0"/>
    <w:rsid w:val="00D23ED8"/>
    <w:rsid w:val="00D24A5A"/>
    <w:rsid w:val="00D25AC1"/>
    <w:rsid w:val="00D262BE"/>
    <w:rsid w:val="00D27DB7"/>
    <w:rsid w:val="00D30213"/>
    <w:rsid w:val="00D308AF"/>
    <w:rsid w:val="00D30EAE"/>
    <w:rsid w:val="00D32FCC"/>
    <w:rsid w:val="00D33EBE"/>
    <w:rsid w:val="00D34294"/>
    <w:rsid w:val="00D34ECC"/>
    <w:rsid w:val="00D359F6"/>
    <w:rsid w:val="00D363D0"/>
    <w:rsid w:val="00D36984"/>
    <w:rsid w:val="00D3782E"/>
    <w:rsid w:val="00D400BF"/>
    <w:rsid w:val="00D41700"/>
    <w:rsid w:val="00D41912"/>
    <w:rsid w:val="00D42F94"/>
    <w:rsid w:val="00D50B8C"/>
    <w:rsid w:val="00D51386"/>
    <w:rsid w:val="00D5233F"/>
    <w:rsid w:val="00D56115"/>
    <w:rsid w:val="00D56575"/>
    <w:rsid w:val="00D56C86"/>
    <w:rsid w:val="00D60C7B"/>
    <w:rsid w:val="00D623FF"/>
    <w:rsid w:val="00D62A5B"/>
    <w:rsid w:val="00D62EBB"/>
    <w:rsid w:val="00D63776"/>
    <w:rsid w:val="00D64217"/>
    <w:rsid w:val="00D64412"/>
    <w:rsid w:val="00D64A67"/>
    <w:rsid w:val="00D67D99"/>
    <w:rsid w:val="00D72069"/>
    <w:rsid w:val="00D7496E"/>
    <w:rsid w:val="00D75846"/>
    <w:rsid w:val="00D80992"/>
    <w:rsid w:val="00D87D45"/>
    <w:rsid w:val="00D91690"/>
    <w:rsid w:val="00D9237C"/>
    <w:rsid w:val="00D933FE"/>
    <w:rsid w:val="00D94FCB"/>
    <w:rsid w:val="00D950DC"/>
    <w:rsid w:val="00D9584F"/>
    <w:rsid w:val="00D96937"/>
    <w:rsid w:val="00D96F01"/>
    <w:rsid w:val="00D97026"/>
    <w:rsid w:val="00DA013A"/>
    <w:rsid w:val="00DA348E"/>
    <w:rsid w:val="00DA3C3E"/>
    <w:rsid w:val="00DA5EFD"/>
    <w:rsid w:val="00DA6965"/>
    <w:rsid w:val="00DA7700"/>
    <w:rsid w:val="00DA7D59"/>
    <w:rsid w:val="00DB0B72"/>
    <w:rsid w:val="00DB14A0"/>
    <w:rsid w:val="00DB199A"/>
    <w:rsid w:val="00DB1E35"/>
    <w:rsid w:val="00DB2B57"/>
    <w:rsid w:val="00DB55FB"/>
    <w:rsid w:val="00DB5FD8"/>
    <w:rsid w:val="00DB7F09"/>
    <w:rsid w:val="00DC03EF"/>
    <w:rsid w:val="00DC18FC"/>
    <w:rsid w:val="00DC1AF6"/>
    <w:rsid w:val="00DC39A2"/>
    <w:rsid w:val="00DC39C7"/>
    <w:rsid w:val="00DC425A"/>
    <w:rsid w:val="00DC4853"/>
    <w:rsid w:val="00DC4AFF"/>
    <w:rsid w:val="00DD0947"/>
    <w:rsid w:val="00DD347E"/>
    <w:rsid w:val="00DD686F"/>
    <w:rsid w:val="00DE02F6"/>
    <w:rsid w:val="00DE1842"/>
    <w:rsid w:val="00DE3751"/>
    <w:rsid w:val="00DE4208"/>
    <w:rsid w:val="00DE4435"/>
    <w:rsid w:val="00DE6191"/>
    <w:rsid w:val="00DE6F12"/>
    <w:rsid w:val="00DF173A"/>
    <w:rsid w:val="00DF2209"/>
    <w:rsid w:val="00DF3634"/>
    <w:rsid w:val="00DF53E7"/>
    <w:rsid w:val="00DF60B1"/>
    <w:rsid w:val="00DF6970"/>
    <w:rsid w:val="00DF6B9F"/>
    <w:rsid w:val="00DF6DE5"/>
    <w:rsid w:val="00DF79C0"/>
    <w:rsid w:val="00DF7B9C"/>
    <w:rsid w:val="00E01DC0"/>
    <w:rsid w:val="00E06546"/>
    <w:rsid w:val="00E06695"/>
    <w:rsid w:val="00E07A35"/>
    <w:rsid w:val="00E130D9"/>
    <w:rsid w:val="00E146A8"/>
    <w:rsid w:val="00E15C78"/>
    <w:rsid w:val="00E15F27"/>
    <w:rsid w:val="00E17C14"/>
    <w:rsid w:val="00E21151"/>
    <w:rsid w:val="00E21B78"/>
    <w:rsid w:val="00E23C04"/>
    <w:rsid w:val="00E24294"/>
    <w:rsid w:val="00E24D65"/>
    <w:rsid w:val="00E24DFC"/>
    <w:rsid w:val="00E25243"/>
    <w:rsid w:val="00E265CE"/>
    <w:rsid w:val="00E270E6"/>
    <w:rsid w:val="00E278AA"/>
    <w:rsid w:val="00E27E4D"/>
    <w:rsid w:val="00E3075D"/>
    <w:rsid w:val="00E3110B"/>
    <w:rsid w:val="00E32D55"/>
    <w:rsid w:val="00E3518F"/>
    <w:rsid w:val="00E35DA5"/>
    <w:rsid w:val="00E4351B"/>
    <w:rsid w:val="00E44191"/>
    <w:rsid w:val="00E44908"/>
    <w:rsid w:val="00E450CF"/>
    <w:rsid w:val="00E45EFA"/>
    <w:rsid w:val="00E52A1D"/>
    <w:rsid w:val="00E539E6"/>
    <w:rsid w:val="00E54CD9"/>
    <w:rsid w:val="00E54D9A"/>
    <w:rsid w:val="00E56124"/>
    <w:rsid w:val="00E61042"/>
    <w:rsid w:val="00E61645"/>
    <w:rsid w:val="00E62E16"/>
    <w:rsid w:val="00E63A4C"/>
    <w:rsid w:val="00E65355"/>
    <w:rsid w:val="00E65D6E"/>
    <w:rsid w:val="00E67773"/>
    <w:rsid w:val="00E7173E"/>
    <w:rsid w:val="00E719CC"/>
    <w:rsid w:val="00E747FE"/>
    <w:rsid w:val="00E77443"/>
    <w:rsid w:val="00E80F97"/>
    <w:rsid w:val="00E83030"/>
    <w:rsid w:val="00E836C2"/>
    <w:rsid w:val="00E8691D"/>
    <w:rsid w:val="00E8721D"/>
    <w:rsid w:val="00E90305"/>
    <w:rsid w:val="00E90838"/>
    <w:rsid w:val="00E91F30"/>
    <w:rsid w:val="00E91F94"/>
    <w:rsid w:val="00E93829"/>
    <w:rsid w:val="00E9508D"/>
    <w:rsid w:val="00E97DB6"/>
    <w:rsid w:val="00EA2A21"/>
    <w:rsid w:val="00EA375A"/>
    <w:rsid w:val="00EA3996"/>
    <w:rsid w:val="00EA3E60"/>
    <w:rsid w:val="00EA5B89"/>
    <w:rsid w:val="00EA5D6C"/>
    <w:rsid w:val="00EA713F"/>
    <w:rsid w:val="00EB03F1"/>
    <w:rsid w:val="00EB05DA"/>
    <w:rsid w:val="00EB0C7D"/>
    <w:rsid w:val="00EB17EE"/>
    <w:rsid w:val="00EB2FA2"/>
    <w:rsid w:val="00EB32A9"/>
    <w:rsid w:val="00EB3A8A"/>
    <w:rsid w:val="00EB4657"/>
    <w:rsid w:val="00EB5067"/>
    <w:rsid w:val="00EB74DB"/>
    <w:rsid w:val="00EC050F"/>
    <w:rsid w:val="00EC0675"/>
    <w:rsid w:val="00EC3CE4"/>
    <w:rsid w:val="00EC5D6F"/>
    <w:rsid w:val="00ED2B11"/>
    <w:rsid w:val="00ED4C4D"/>
    <w:rsid w:val="00ED5268"/>
    <w:rsid w:val="00ED79F5"/>
    <w:rsid w:val="00ED7D13"/>
    <w:rsid w:val="00ED7DE3"/>
    <w:rsid w:val="00EE0D0E"/>
    <w:rsid w:val="00EE1CAD"/>
    <w:rsid w:val="00EE325F"/>
    <w:rsid w:val="00EE5D99"/>
    <w:rsid w:val="00EE60CF"/>
    <w:rsid w:val="00EE6925"/>
    <w:rsid w:val="00EE750E"/>
    <w:rsid w:val="00EF1B3E"/>
    <w:rsid w:val="00EF23E2"/>
    <w:rsid w:val="00EF2D45"/>
    <w:rsid w:val="00EF4E5A"/>
    <w:rsid w:val="00EF5D52"/>
    <w:rsid w:val="00EF6E8E"/>
    <w:rsid w:val="00EF7057"/>
    <w:rsid w:val="00F023DE"/>
    <w:rsid w:val="00F048D5"/>
    <w:rsid w:val="00F06401"/>
    <w:rsid w:val="00F06B43"/>
    <w:rsid w:val="00F074C0"/>
    <w:rsid w:val="00F10F98"/>
    <w:rsid w:val="00F1188C"/>
    <w:rsid w:val="00F127A9"/>
    <w:rsid w:val="00F158A3"/>
    <w:rsid w:val="00F166AC"/>
    <w:rsid w:val="00F16F70"/>
    <w:rsid w:val="00F213DF"/>
    <w:rsid w:val="00F21AD6"/>
    <w:rsid w:val="00F22178"/>
    <w:rsid w:val="00F2386B"/>
    <w:rsid w:val="00F26448"/>
    <w:rsid w:val="00F265E7"/>
    <w:rsid w:val="00F319E4"/>
    <w:rsid w:val="00F3256B"/>
    <w:rsid w:val="00F3324B"/>
    <w:rsid w:val="00F33B4A"/>
    <w:rsid w:val="00F34A9C"/>
    <w:rsid w:val="00F36892"/>
    <w:rsid w:val="00F36CEF"/>
    <w:rsid w:val="00F37537"/>
    <w:rsid w:val="00F37E5C"/>
    <w:rsid w:val="00F42090"/>
    <w:rsid w:val="00F44073"/>
    <w:rsid w:val="00F45125"/>
    <w:rsid w:val="00F457FC"/>
    <w:rsid w:val="00F4790A"/>
    <w:rsid w:val="00F504F4"/>
    <w:rsid w:val="00F50E99"/>
    <w:rsid w:val="00F5221C"/>
    <w:rsid w:val="00F52AF4"/>
    <w:rsid w:val="00F53722"/>
    <w:rsid w:val="00F55526"/>
    <w:rsid w:val="00F5647F"/>
    <w:rsid w:val="00F57EDE"/>
    <w:rsid w:val="00F60770"/>
    <w:rsid w:val="00F61C65"/>
    <w:rsid w:val="00F627DC"/>
    <w:rsid w:val="00F62D7B"/>
    <w:rsid w:val="00F63623"/>
    <w:rsid w:val="00F6627E"/>
    <w:rsid w:val="00F66AD2"/>
    <w:rsid w:val="00F72800"/>
    <w:rsid w:val="00F7352C"/>
    <w:rsid w:val="00F74041"/>
    <w:rsid w:val="00F751CB"/>
    <w:rsid w:val="00F75784"/>
    <w:rsid w:val="00F75AAF"/>
    <w:rsid w:val="00F804A3"/>
    <w:rsid w:val="00F82061"/>
    <w:rsid w:val="00F82B7E"/>
    <w:rsid w:val="00F82E40"/>
    <w:rsid w:val="00F92F18"/>
    <w:rsid w:val="00F949AE"/>
    <w:rsid w:val="00F95E8E"/>
    <w:rsid w:val="00F97F4B"/>
    <w:rsid w:val="00FA12C8"/>
    <w:rsid w:val="00FA2B1A"/>
    <w:rsid w:val="00FA319D"/>
    <w:rsid w:val="00FA5E1E"/>
    <w:rsid w:val="00FB0647"/>
    <w:rsid w:val="00FB177B"/>
    <w:rsid w:val="00FB1DCB"/>
    <w:rsid w:val="00FB4855"/>
    <w:rsid w:val="00FB62E1"/>
    <w:rsid w:val="00FB6571"/>
    <w:rsid w:val="00FC196A"/>
    <w:rsid w:val="00FC265D"/>
    <w:rsid w:val="00FC36D7"/>
    <w:rsid w:val="00FC47C2"/>
    <w:rsid w:val="00FC593B"/>
    <w:rsid w:val="00FC5B89"/>
    <w:rsid w:val="00FC65DF"/>
    <w:rsid w:val="00FC6F38"/>
    <w:rsid w:val="00FC7FBE"/>
    <w:rsid w:val="00FD09D6"/>
    <w:rsid w:val="00FD0F67"/>
    <w:rsid w:val="00FD2DE8"/>
    <w:rsid w:val="00FD793C"/>
    <w:rsid w:val="00FE0A80"/>
    <w:rsid w:val="00FE0BF7"/>
    <w:rsid w:val="00FE115F"/>
    <w:rsid w:val="00FE241A"/>
    <w:rsid w:val="00FE2763"/>
    <w:rsid w:val="00FE2D93"/>
    <w:rsid w:val="00FE3FEC"/>
    <w:rsid w:val="00FE5338"/>
    <w:rsid w:val="00FE66D1"/>
    <w:rsid w:val="00FE776E"/>
    <w:rsid w:val="00FE7A39"/>
    <w:rsid w:val="00FE7BE1"/>
    <w:rsid w:val="00FF1C33"/>
    <w:rsid w:val="00FF24AE"/>
    <w:rsid w:val="00FF2DEB"/>
    <w:rsid w:val="00FF32F5"/>
    <w:rsid w:val="00FF3B4F"/>
    <w:rsid w:val="00FF4284"/>
    <w:rsid w:val="00FF6BE9"/>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margin" fillcolor="#002395" stroke="f">
      <v:fill color="#002395"/>
      <v:stroke on="f"/>
    </o:shapedefaults>
    <o:shapelayout v:ext="edit">
      <o:idmap v:ext="edit" data="2"/>
    </o:shapelayout>
  </w:shapeDefaults>
  <w:decimalSymbol w:val=","/>
  <w:listSeparator w:val=";"/>
  <w14:docId w14:val="1E5E180B"/>
  <w15:docId w15:val="{379147AC-9D7B-4498-8D96-C61DDE8A3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99"/>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D3340"/>
    <w:pPr>
      <w:spacing w:after="240"/>
      <w:jc w:val="both"/>
    </w:pPr>
    <w:rPr>
      <w:sz w:val="24"/>
      <w:lang w:val="en-GB" w:eastAsia="en-US"/>
    </w:rPr>
  </w:style>
  <w:style w:type="paragraph" w:styleId="Heading1">
    <w:name w:val="heading 1"/>
    <w:basedOn w:val="Normal"/>
    <w:next w:val="Text1"/>
    <w:rsid w:val="00577EC6"/>
    <w:pPr>
      <w:keepNext/>
      <w:numPr>
        <w:numId w:val="3"/>
      </w:numPr>
      <w:spacing w:before="240"/>
      <w:outlineLvl w:val="0"/>
    </w:pPr>
    <w:rPr>
      <w:b/>
      <w:smallCaps/>
    </w:rPr>
  </w:style>
  <w:style w:type="paragraph" w:styleId="Heading2">
    <w:name w:val="heading 2"/>
    <w:basedOn w:val="Normal"/>
    <w:next w:val="Text2"/>
    <w:rsid w:val="004A25F4"/>
    <w:pPr>
      <w:keepNext/>
      <w:numPr>
        <w:ilvl w:val="1"/>
        <w:numId w:val="3"/>
      </w:numPr>
      <w:outlineLvl w:val="1"/>
    </w:pPr>
    <w:rPr>
      <w:rFonts w:ascii="Verdana" w:hAnsi="Verdana"/>
      <w:b/>
      <w:sz w:val="20"/>
    </w:rPr>
  </w:style>
  <w:style w:type="paragraph" w:styleId="Heading3">
    <w:name w:val="heading 3"/>
    <w:basedOn w:val="Normal"/>
    <w:next w:val="Text3"/>
    <w:rsid w:val="00577EC6"/>
    <w:pPr>
      <w:keepNext/>
      <w:numPr>
        <w:ilvl w:val="2"/>
        <w:numId w:val="3"/>
      </w:numPr>
      <w:outlineLvl w:val="2"/>
    </w:pPr>
    <w:rPr>
      <w:i/>
    </w:rPr>
  </w:style>
  <w:style w:type="paragraph" w:styleId="Heading4">
    <w:name w:val="heading 4"/>
    <w:basedOn w:val="Normal"/>
    <w:next w:val="Text4"/>
    <w:rsid w:val="00577EC6"/>
    <w:pPr>
      <w:keepNext/>
      <w:numPr>
        <w:ilvl w:val="3"/>
        <w:numId w:val="3"/>
      </w:numPr>
      <w:outlineLvl w:val="3"/>
    </w:pPr>
  </w:style>
  <w:style w:type="paragraph" w:styleId="Heading5">
    <w:name w:val="heading 5"/>
    <w:basedOn w:val="Normal"/>
    <w:next w:val="Normal"/>
    <w:rsid w:val="00461D0A"/>
    <w:pPr>
      <w:tabs>
        <w:tab w:val="num" w:pos="0"/>
      </w:tabs>
      <w:spacing w:before="240" w:after="60"/>
      <w:outlineLvl w:val="4"/>
    </w:pPr>
    <w:rPr>
      <w:rFonts w:ascii="Arial" w:hAnsi="Arial"/>
      <w:sz w:val="22"/>
    </w:rPr>
  </w:style>
  <w:style w:type="paragraph" w:styleId="Heading6">
    <w:name w:val="heading 6"/>
    <w:basedOn w:val="Normal"/>
    <w:next w:val="Normal"/>
    <w:rsid w:val="00461D0A"/>
    <w:pPr>
      <w:tabs>
        <w:tab w:val="num" w:pos="0"/>
      </w:tabs>
      <w:spacing w:before="240" w:after="60"/>
      <w:outlineLvl w:val="5"/>
    </w:pPr>
    <w:rPr>
      <w:rFonts w:ascii="Arial" w:hAnsi="Arial"/>
      <w:i/>
      <w:sz w:val="22"/>
    </w:rPr>
  </w:style>
  <w:style w:type="paragraph" w:styleId="Heading7">
    <w:name w:val="heading 7"/>
    <w:basedOn w:val="Normal"/>
    <w:next w:val="Normal"/>
    <w:rsid w:val="00461D0A"/>
    <w:pPr>
      <w:tabs>
        <w:tab w:val="num" w:pos="0"/>
      </w:tabs>
      <w:spacing w:before="240" w:after="60"/>
      <w:outlineLvl w:val="6"/>
    </w:pPr>
    <w:rPr>
      <w:rFonts w:ascii="Arial" w:hAnsi="Arial"/>
      <w:sz w:val="20"/>
    </w:rPr>
  </w:style>
  <w:style w:type="paragraph" w:styleId="Heading8">
    <w:name w:val="heading 8"/>
    <w:basedOn w:val="Normal"/>
    <w:next w:val="Normal"/>
    <w:rsid w:val="00461D0A"/>
    <w:pPr>
      <w:tabs>
        <w:tab w:val="num" w:pos="0"/>
      </w:tabs>
      <w:spacing w:before="240" w:after="60"/>
      <w:outlineLvl w:val="7"/>
    </w:pPr>
    <w:rPr>
      <w:rFonts w:ascii="Arial" w:hAnsi="Arial"/>
      <w:i/>
      <w:sz w:val="20"/>
    </w:rPr>
  </w:style>
  <w:style w:type="paragraph" w:styleId="Heading9">
    <w:name w:val="heading 9"/>
    <w:basedOn w:val="Normal"/>
    <w:next w:val="Normal"/>
    <w:rsid w:val="00461D0A"/>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461D0A"/>
    <w:pPr>
      <w:ind w:left="482"/>
    </w:pPr>
  </w:style>
  <w:style w:type="paragraph" w:customStyle="1" w:styleId="Text2">
    <w:name w:val="Text 2"/>
    <w:basedOn w:val="Normal"/>
    <w:rsid w:val="00461D0A"/>
    <w:pPr>
      <w:tabs>
        <w:tab w:val="left" w:pos="2302"/>
      </w:tabs>
      <w:ind w:left="1202"/>
    </w:pPr>
  </w:style>
  <w:style w:type="paragraph" w:customStyle="1" w:styleId="Text3">
    <w:name w:val="Text 3"/>
    <w:basedOn w:val="Normal"/>
    <w:rsid w:val="00461D0A"/>
    <w:pPr>
      <w:tabs>
        <w:tab w:val="left" w:pos="2302"/>
      </w:tabs>
      <w:ind w:left="1202"/>
    </w:pPr>
  </w:style>
  <w:style w:type="paragraph" w:customStyle="1" w:styleId="Text4">
    <w:name w:val="Text 4"/>
    <w:basedOn w:val="Normal"/>
    <w:rsid w:val="00461D0A"/>
    <w:pPr>
      <w:tabs>
        <w:tab w:val="left" w:pos="2302"/>
      </w:tabs>
      <w:ind w:left="1202"/>
    </w:pPr>
  </w:style>
  <w:style w:type="paragraph" w:customStyle="1" w:styleId="Address">
    <w:name w:val="Address"/>
    <w:basedOn w:val="Normal"/>
    <w:rsid w:val="00461D0A"/>
    <w:pPr>
      <w:spacing w:after="0"/>
      <w:jc w:val="left"/>
    </w:pPr>
  </w:style>
  <w:style w:type="paragraph" w:customStyle="1" w:styleId="AddressTL">
    <w:name w:val="AddressTL"/>
    <w:basedOn w:val="Normal"/>
    <w:next w:val="Normal"/>
    <w:rsid w:val="00461D0A"/>
    <w:pPr>
      <w:spacing w:after="720"/>
      <w:jc w:val="left"/>
    </w:pPr>
  </w:style>
  <w:style w:type="paragraph" w:customStyle="1" w:styleId="AddressTR">
    <w:name w:val="AddressTR"/>
    <w:basedOn w:val="Normal"/>
    <w:next w:val="Normal"/>
    <w:rsid w:val="00461D0A"/>
    <w:pPr>
      <w:spacing w:after="720"/>
      <w:ind w:left="5103"/>
      <w:jc w:val="left"/>
    </w:pPr>
  </w:style>
  <w:style w:type="paragraph" w:styleId="BlockText">
    <w:name w:val="Block Text"/>
    <w:basedOn w:val="Normal"/>
    <w:rsid w:val="00461D0A"/>
    <w:pPr>
      <w:spacing w:after="120"/>
      <w:ind w:left="1440" w:right="1440"/>
    </w:pPr>
  </w:style>
  <w:style w:type="paragraph" w:styleId="BodyText">
    <w:name w:val="Body Text"/>
    <w:basedOn w:val="Normal"/>
    <w:rsid w:val="00461D0A"/>
    <w:pPr>
      <w:spacing w:after="120"/>
    </w:pPr>
  </w:style>
  <w:style w:type="paragraph" w:styleId="BodyText2">
    <w:name w:val="Body Text 2"/>
    <w:basedOn w:val="Normal"/>
    <w:rsid w:val="00461D0A"/>
    <w:pPr>
      <w:spacing w:after="120" w:line="480" w:lineRule="auto"/>
    </w:pPr>
  </w:style>
  <w:style w:type="paragraph" w:styleId="BodyText3">
    <w:name w:val="Body Text 3"/>
    <w:basedOn w:val="Normal"/>
    <w:rsid w:val="00461D0A"/>
    <w:pPr>
      <w:spacing w:after="120"/>
    </w:pPr>
    <w:rPr>
      <w:sz w:val="16"/>
    </w:rPr>
  </w:style>
  <w:style w:type="paragraph" w:styleId="BodyTextFirstIndent">
    <w:name w:val="Body Text First Indent"/>
    <w:basedOn w:val="BodyText"/>
    <w:rsid w:val="00461D0A"/>
    <w:pPr>
      <w:ind w:firstLine="210"/>
    </w:pPr>
  </w:style>
  <w:style w:type="paragraph" w:styleId="BodyTextIndent">
    <w:name w:val="Body Text Indent"/>
    <w:basedOn w:val="Normal"/>
    <w:rsid w:val="00461D0A"/>
    <w:pPr>
      <w:spacing w:after="120"/>
      <w:ind w:left="283"/>
    </w:pPr>
  </w:style>
  <w:style w:type="paragraph" w:styleId="BodyTextFirstIndent2">
    <w:name w:val="Body Text First Indent 2"/>
    <w:basedOn w:val="BodyTextIndent"/>
    <w:rsid w:val="00461D0A"/>
    <w:pPr>
      <w:ind w:firstLine="210"/>
    </w:pPr>
  </w:style>
  <w:style w:type="paragraph" w:styleId="BodyTextIndent2">
    <w:name w:val="Body Text Indent 2"/>
    <w:basedOn w:val="Normal"/>
    <w:rsid w:val="00461D0A"/>
    <w:pPr>
      <w:spacing w:after="120" w:line="480" w:lineRule="auto"/>
      <w:ind w:left="283"/>
    </w:pPr>
  </w:style>
  <w:style w:type="paragraph" w:styleId="BodyTextIndent3">
    <w:name w:val="Body Text Indent 3"/>
    <w:basedOn w:val="Normal"/>
    <w:rsid w:val="00461D0A"/>
    <w:pPr>
      <w:spacing w:after="120"/>
      <w:ind w:left="283"/>
    </w:pPr>
    <w:rPr>
      <w:sz w:val="16"/>
    </w:rPr>
  </w:style>
  <w:style w:type="paragraph" w:styleId="Caption">
    <w:name w:val="caption"/>
    <w:aliases w:val="Char"/>
    <w:basedOn w:val="Normal"/>
    <w:next w:val="Normal"/>
    <w:link w:val="CaptionChar"/>
    <w:qFormat/>
    <w:rsid w:val="00461D0A"/>
    <w:pPr>
      <w:spacing w:before="120" w:after="120"/>
    </w:pPr>
    <w:rPr>
      <w:b/>
    </w:rPr>
  </w:style>
  <w:style w:type="paragraph" w:customStyle="1" w:styleId="ChapterTitle">
    <w:name w:val="ChapterTitle"/>
    <w:basedOn w:val="Normal"/>
    <w:next w:val="SectionTitle"/>
    <w:rsid w:val="00461D0A"/>
    <w:pPr>
      <w:keepNext/>
      <w:spacing w:after="480"/>
      <w:jc w:val="center"/>
    </w:pPr>
    <w:rPr>
      <w:b/>
      <w:sz w:val="32"/>
    </w:rPr>
  </w:style>
  <w:style w:type="paragraph" w:customStyle="1" w:styleId="SectionTitle">
    <w:name w:val="SectionTitle"/>
    <w:basedOn w:val="Normal"/>
    <w:next w:val="Heading1"/>
    <w:rsid w:val="00461D0A"/>
    <w:pPr>
      <w:keepNext/>
      <w:spacing w:after="480"/>
      <w:jc w:val="center"/>
    </w:pPr>
    <w:rPr>
      <w:b/>
      <w:smallCaps/>
      <w:sz w:val="28"/>
    </w:rPr>
  </w:style>
  <w:style w:type="paragraph" w:styleId="Closing">
    <w:name w:val="Closing"/>
    <w:basedOn w:val="Normal"/>
    <w:rsid w:val="00461D0A"/>
    <w:pPr>
      <w:ind w:left="4252"/>
    </w:pPr>
  </w:style>
  <w:style w:type="paragraph" w:styleId="CommentText">
    <w:name w:val="annotation text"/>
    <w:basedOn w:val="Normal"/>
    <w:link w:val="CommentTextChar1"/>
    <w:uiPriority w:val="99"/>
    <w:rsid w:val="00461D0A"/>
    <w:rPr>
      <w:sz w:val="20"/>
    </w:rPr>
  </w:style>
  <w:style w:type="paragraph" w:styleId="Date">
    <w:name w:val="Date"/>
    <w:basedOn w:val="Normal"/>
    <w:next w:val="References"/>
    <w:rsid w:val="00461D0A"/>
    <w:pPr>
      <w:spacing w:after="0"/>
      <w:ind w:left="5103" w:right="-567"/>
      <w:jc w:val="left"/>
    </w:pPr>
  </w:style>
  <w:style w:type="paragraph" w:customStyle="1" w:styleId="References">
    <w:name w:val="References"/>
    <w:basedOn w:val="Normal"/>
    <w:next w:val="AddressTR"/>
    <w:rsid w:val="00461D0A"/>
    <w:pPr>
      <w:ind w:left="5103"/>
      <w:jc w:val="left"/>
    </w:pPr>
    <w:rPr>
      <w:sz w:val="20"/>
    </w:rPr>
  </w:style>
  <w:style w:type="paragraph" w:styleId="DocumentMap">
    <w:name w:val="Document Map"/>
    <w:basedOn w:val="Normal"/>
    <w:semiHidden/>
    <w:rsid w:val="00461D0A"/>
    <w:pPr>
      <w:shd w:val="clear" w:color="auto" w:fill="000080"/>
    </w:pPr>
    <w:rPr>
      <w:rFonts w:ascii="Tahoma" w:hAnsi="Tahoma"/>
    </w:rPr>
  </w:style>
  <w:style w:type="paragraph" w:customStyle="1" w:styleId="DoubSign">
    <w:name w:val="DoubSign"/>
    <w:basedOn w:val="Normal"/>
    <w:next w:val="Enclosures"/>
    <w:rsid w:val="00461D0A"/>
    <w:pPr>
      <w:tabs>
        <w:tab w:val="left" w:pos="5103"/>
      </w:tabs>
      <w:spacing w:before="1200" w:after="0"/>
      <w:jc w:val="left"/>
    </w:pPr>
  </w:style>
  <w:style w:type="paragraph" w:customStyle="1" w:styleId="Enclosures">
    <w:name w:val="Enclosures"/>
    <w:basedOn w:val="Normal"/>
    <w:rsid w:val="00461D0A"/>
    <w:pPr>
      <w:keepNext/>
      <w:keepLines/>
      <w:tabs>
        <w:tab w:val="left" w:pos="5642"/>
      </w:tabs>
      <w:spacing w:before="480" w:after="0"/>
      <w:ind w:left="1191" w:hanging="1191"/>
      <w:jc w:val="left"/>
    </w:pPr>
  </w:style>
  <w:style w:type="paragraph" w:styleId="EndnoteText">
    <w:name w:val="endnote text"/>
    <w:basedOn w:val="Normal"/>
    <w:semiHidden/>
    <w:rsid w:val="00461D0A"/>
    <w:rPr>
      <w:sz w:val="20"/>
    </w:rPr>
  </w:style>
  <w:style w:type="paragraph" w:styleId="EnvelopeAddress">
    <w:name w:val="envelope address"/>
    <w:basedOn w:val="Normal"/>
    <w:rsid w:val="00461D0A"/>
    <w:pPr>
      <w:framePr w:w="7920" w:h="1980" w:hRule="exact" w:hSpace="180" w:wrap="auto" w:hAnchor="page" w:xAlign="center" w:yAlign="bottom"/>
      <w:spacing w:after="0"/>
    </w:pPr>
  </w:style>
  <w:style w:type="paragraph" w:styleId="EnvelopeReturn">
    <w:name w:val="envelope return"/>
    <w:basedOn w:val="Normal"/>
    <w:rsid w:val="00461D0A"/>
    <w:pPr>
      <w:spacing w:after="0"/>
    </w:pPr>
    <w:rPr>
      <w:sz w:val="20"/>
    </w:rPr>
  </w:style>
  <w:style w:type="paragraph" w:styleId="Footer">
    <w:name w:val="footer"/>
    <w:basedOn w:val="Normal"/>
    <w:link w:val="FooterChar"/>
    <w:uiPriority w:val="99"/>
    <w:rsid w:val="00461D0A"/>
    <w:pPr>
      <w:spacing w:after="0"/>
      <w:ind w:right="-567"/>
      <w:jc w:val="left"/>
    </w:pPr>
    <w:rPr>
      <w:rFonts w:ascii="Arial" w:hAnsi="Arial"/>
      <w:sz w:val="16"/>
    </w:rPr>
  </w:style>
  <w:style w:type="paragraph" w:styleId="FootnoteText">
    <w:name w:val="footnote text"/>
    <w:aliases w:val="Footnote text,Fußnote,Fu§notentext Char,Fu§notentext Char1 Char1,Fu§notentext Char Char Char Char,Fu§notentext Char1 Char Char Char,Fu§notentext Char Char,Fu§notentext Char Char Char Char Char Char,Footnote Text Char Char,o,IFZ f"/>
    <w:basedOn w:val="Normal"/>
    <w:link w:val="FootnoteTextChar"/>
    <w:uiPriority w:val="99"/>
    <w:qFormat/>
    <w:rsid w:val="00C20711"/>
    <w:pPr>
      <w:spacing w:after="0"/>
      <w:ind w:left="357" w:hanging="357"/>
    </w:pPr>
    <w:rPr>
      <w:rFonts w:ascii="Verdana" w:hAnsi="Verdana"/>
      <w:sz w:val="17"/>
      <w:szCs w:val="17"/>
    </w:rPr>
  </w:style>
  <w:style w:type="paragraph" w:styleId="Header">
    <w:name w:val="header"/>
    <w:basedOn w:val="Normal"/>
    <w:link w:val="HeaderChar"/>
    <w:uiPriority w:val="99"/>
    <w:rsid w:val="00461D0A"/>
    <w:pPr>
      <w:tabs>
        <w:tab w:val="center" w:pos="4153"/>
        <w:tab w:val="right" w:pos="8306"/>
      </w:tabs>
    </w:pPr>
  </w:style>
  <w:style w:type="paragraph" w:styleId="Index1">
    <w:name w:val="index 1"/>
    <w:basedOn w:val="Normal"/>
    <w:next w:val="Normal"/>
    <w:autoRedefine/>
    <w:semiHidden/>
    <w:rsid w:val="00461D0A"/>
    <w:pPr>
      <w:ind w:left="240" w:hanging="240"/>
    </w:pPr>
  </w:style>
  <w:style w:type="paragraph" w:styleId="Index2">
    <w:name w:val="index 2"/>
    <w:basedOn w:val="Normal"/>
    <w:next w:val="Normal"/>
    <w:autoRedefine/>
    <w:semiHidden/>
    <w:rsid w:val="00461D0A"/>
    <w:pPr>
      <w:ind w:left="480" w:hanging="240"/>
    </w:pPr>
  </w:style>
  <w:style w:type="paragraph" w:styleId="Index3">
    <w:name w:val="index 3"/>
    <w:basedOn w:val="Normal"/>
    <w:next w:val="Normal"/>
    <w:autoRedefine/>
    <w:semiHidden/>
    <w:rsid w:val="00461D0A"/>
    <w:pPr>
      <w:ind w:left="720" w:hanging="240"/>
    </w:pPr>
  </w:style>
  <w:style w:type="paragraph" w:styleId="Index4">
    <w:name w:val="index 4"/>
    <w:basedOn w:val="Normal"/>
    <w:next w:val="Normal"/>
    <w:autoRedefine/>
    <w:semiHidden/>
    <w:rsid w:val="00461D0A"/>
    <w:pPr>
      <w:ind w:left="960" w:hanging="240"/>
    </w:pPr>
  </w:style>
  <w:style w:type="paragraph" w:styleId="Index5">
    <w:name w:val="index 5"/>
    <w:basedOn w:val="Normal"/>
    <w:next w:val="Normal"/>
    <w:autoRedefine/>
    <w:semiHidden/>
    <w:rsid w:val="00461D0A"/>
    <w:pPr>
      <w:ind w:left="1200" w:hanging="240"/>
    </w:pPr>
  </w:style>
  <w:style w:type="paragraph" w:styleId="Index6">
    <w:name w:val="index 6"/>
    <w:basedOn w:val="Normal"/>
    <w:next w:val="Normal"/>
    <w:autoRedefine/>
    <w:semiHidden/>
    <w:rsid w:val="00461D0A"/>
    <w:pPr>
      <w:ind w:left="1440" w:hanging="240"/>
    </w:pPr>
  </w:style>
  <w:style w:type="paragraph" w:styleId="Index7">
    <w:name w:val="index 7"/>
    <w:basedOn w:val="Normal"/>
    <w:next w:val="Normal"/>
    <w:autoRedefine/>
    <w:semiHidden/>
    <w:rsid w:val="00461D0A"/>
    <w:pPr>
      <w:ind w:left="1680" w:hanging="240"/>
    </w:pPr>
  </w:style>
  <w:style w:type="paragraph" w:styleId="Index8">
    <w:name w:val="index 8"/>
    <w:basedOn w:val="Normal"/>
    <w:next w:val="Normal"/>
    <w:autoRedefine/>
    <w:semiHidden/>
    <w:rsid w:val="00461D0A"/>
    <w:pPr>
      <w:ind w:left="1920" w:hanging="240"/>
    </w:pPr>
  </w:style>
  <w:style w:type="paragraph" w:styleId="Index9">
    <w:name w:val="index 9"/>
    <w:basedOn w:val="Normal"/>
    <w:next w:val="Normal"/>
    <w:autoRedefine/>
    <w:semiHidden/>
    <w:rsid w:val="00461D0A"/>
    <w:pPr>
      <w:ind w:left="2160" w:hanging="240"/>
    </w:pPr>
  </w:style>
  <w:style w:type="paragraph" w:styleId="IndexHeading">
    <w:name w:val="index heading"/>
    <w:basedOn w:val="Normal"/>
    <w:next w:val="Index1"/>
    <w:semiHidden/>
    <w:rsid w:val="00461D0A"/>
    <w:rPr>
      <w:rFonts w:ascii="Arial" w:hAnsi="Arial"/>
      <w:b/>
    </w:rPr>
  </w:style>
  <w:style w:type="paragraph" w:styleId="List">
    <w:name w:val="List"/>
    <w:basedOn w:val="Normal"/>
    <w:rsid w:val="00461D0A"/>
    <w:pPr>
      <w:ind w:left="283" w:hanging="283"/>
    </w:pPr>
  </w:style>
  <w:style w:type="paragraph" w:styleId="List2">
    <w:name w:val="List 2"/>
    <w:basedOn w:val="Normal"/>
    <w:rsid w:val="00461D0A"/>
    <w:pPr>
      <w:ind w:left="566" w:hanging="283"/>
    </w:pPr>
  </w:style>
  <w:style w:type="paragraph" w:styleId="List3">
    <w:name w:val="List 3"/>
    <w:basedOn w:val="Normal"/>
    <w:rsid w:val="00461D0A"/>
    <w:pPr>
      <w:ind w:left="849" w:hanging="283"/>
    </w:pPr>
  </w:style>
  <w:style w:type="paragraph" w:styleId="List4">
    <w:name w:val="List 4"/>
    <w:basedOn w:val="Normal"/>
    <w:rsid w:val="00461D0A"/>
    <w:pPr>
      <w:ind w:left="1132" w:hanging="283"/>
    </w:pPr>
  </w:style>
  <w:style w:type="paragraph" w:styleId="List5">
    <w:name w:val="List 5"/>
    <w:basedOn w:val="Normal"/>
    <w:rsid w:val="00461D0A"/>
    <w:pPr>
      <w:ind w:left="1415" w:hanging="283"/>
    </w:pPr>
  </w:style>
  <w:style w:type="paragraph" w:styleId="ListBullet">
    <w:name w:val="List Bullet"/>
    <w:basedOn w:val="Normal"/>
    <w:uiPriority w:val="99"/>
    <w:rsid w:val="00577EC6"/>
    <w:pPr>
      <w:numPr>
        <w:numId w:val="4"/>
      </w:numPr>
    </w:pPr>
  </w:style>
  <w:style w:type="paragraph" w:styleId="ListBullet2">
    <w:name w:val="List Bullet 2"/>
    <w:basedOn w:val="Text2"/>
    <w:uiPriority w:val="99"/>
    <w:rsid w:val="00577EC6"/>
    <w:pPr>
      <w:numPr>
        <w:numId w:val="6"/>
      </w:numPr>
      <w:tabs>
        <w:tab w:val="clear" w:pos="2302"/>
      </w:tabs>
    </w:pPr>
  </w:style>
  <w:style w:type="paragraph" w:styleId="ListBullet3">
    <w:name w:val="List Bullet 3"/>
    <w:basedOn w:val="Text3"/>
    <w:rsid w:val="00577EC6"/>
    <w:pPr>
      <w:numPr>
        <w:numId w:val="7"/>
      </w:numPr>
      <w:tabs>
        <w:tab w:val="clear" w:pos="2302"/>
      </w:tabs>
    </w:pPr>
  </w:style>
  <w:style w:type="paragraph" w:styleId="ListBullet4">
    <w:name w:val="List Bullet 4"/>
    <w:basedOn w:val="Text4"/>
    <w:rsid w:val="00577EC6"/>
    <w:pPr>
      <w:numPr>
        <w:numId w:val="8"/>
      </w:numPr>
      <w:tabs>
        <w:tab w:val="clear" w:pos="2302"/>
      </w:tabs>
    </w:pPr>
  </w:style>
  <w:style w:type="paragraph" w:styleId="ListBullet5">
    <w:name w:val="List Bullet 5"/>
    <w:basedOn w:val="Normal"/>
    <w:autoRedefine/>
    <w:rsid w:val="00577EC6"/>
    <w:pPr>
      <w:numPr>
        <w:numId w:val="1"/>
      </w:numPr>
    </w:pPr>
  </w:style>
  <w:style w:type="paragraph" w:styleId="ListContinue">
    <w:name w:val="List Continue"/>
    <w:basedOn w:val="Normal"/>
    <w:rsid w:val="00461D0A"/>
    <w:pPr>
      <w:spacing w:after="120"/>
      <w:ind w:left="283"/>
    </w:pPr>
  </w:style>
  <w:style w:type="paragraph" w:styleId="ListContinue2">
    <w:name w:val="List Continue 2"/>
    <w:basedOn w:val="Normal"/>
    <w:rsid w:val="00461D0A"/>
    <w:pPr>
      <w:spacing w:after="120"/>
      <w:ind w:left="566"/>
    </w:pPr>
  </w:style>
  <w:style w:type="paragraph" w:styleId="ListContinue3">
    <w:name w:val="List Continue 3"/>
    <w:basedOn w:val="Normal"/>
    <w:rsid w:val="00461D0A"/>
    <w:pPr>
      <w:spacing w:after="120"/>
      <w:ind w:left="849"/>
    </w:pPr>
  </w:style>
  <w:style w:type="paragraph" w:styleId="ListContinue4">
    <w:name w:val="List Continue 4"/>
    <w:basedOn w:val="Normal"/>
    <w:rsid w:val="00461D0A"/>
    <w:pPr>
      <w:spacing w:after="120"/>
      <w:ind w:left="1132"/>
    </w:pPr>
  </w:style>
  <w:style w:type="paragraph" w:styleId="ListContinue5">
    <w:name w:val="List Continue 5"/>
    <w:basedOn w:val="Normal"/>
    <w:rsid w:val="00461D0A"/>
    <w:pPr>
      <w:spacing w:after="120"/>
      <w:ind w:left="1415"/>
    </w:pPr>
  </w:style>
  <w:style w:type="paragraph" w:styleId="ListNumber">
    <w:name w:val="List Number"/>
    <w:basedOn w:val="Normal"/>
    <w:uiPriority w:val="99"/>
    <w:rsid w:val="00577EC6"/>
    <w:pPr>
      <w:numPr>
        <w:numId w:val="14"/>
      </w:numPr>
    </w:pPr>
  </w:style>
  <w:style w:type="paragraph" w:styleId="ListNumber2">
    <w:name w:val="List Number 2"/>
    <w:basedOn w:val="Text2"/>
    <w:rsid w:val="00577EC6"/>
    <w:pPr>
      <w:numPr>
        <w:numId w:val="16"/>
      </w:numPr>
      <w:tabs>
        <w:tab w:val="clear" w:pos="2302"/>
      </w:tabs>
    </w:pPr>
  </w:style>
  <w:style w:type="paragraph" w:styleId="ListNumber3">
    <w:name w:val="List Number 3"/>
    <w:basedOn w:val="Text3"/>
    <w:rsid w:val="00577EC6"/>
    <w:pPr>
      <w:numPr>
        <w:numId w:val="17"/>
      </w:numPr>
      <w:tabs>
        <w:tab w:val="clear" w:pos="2302"/>
      </w:tabs>
    </w:pPr>
  </w:style>
  <w:style w:type="paragraph" w:styleId="ListNumber4">
    <w:name w:val="List Number 4"/>
    <w:basedOn w:val="Text4"/>
    <w:rsid w:val="00577EC6"/>
    <w:pPr>
      <w:numPr>
        <w:numId w:val="18"/>
      </w:numPr>
      <w:tabs>
        <w:tab w:val="clear" w:pos="2302"/>
      </w:tabs>
    </w:pPr>
  </w:style>
  <w:style w:type="paragraph" w:styleId="ListNumber5">
    <w:name w:val="List Number 5"/>
    <w:basedOn w:val="Normal"/>
    <w:rsid w:val="00577EC6"/>
    <w:pPr>
      <w:numPr>
        <w:numId w:val="2"/>
      </w:numPr>
    </w:pPr>
  </w:style>
  <w:style w:type="paragraph" w:styleId="MacroText">
    <w:name w:val="macro"/>
    <w:semiHidden/>
    <w:rsid w:val="00461D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paragraph" w:styleId="MessageHeader">
    <w:name w:val="Message Header"/>
    <w:basedOn w:val="Normal"/>
    <w:rsid w:val="00461D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link w:val="NormalIndentChar"/>
    <w:rsid w:val="00461D0A"/>
    <w:pPr>
      <w:ind w:left="720"/>
    </w:pPr>
  </w:style>
  <w:style w:type="paragraph" w:styleId="NoteHeading">
    <w:name w:val="Note Heading"/>
    <w:basedOn w:val="Normal"/>
    <w:next w:val="Normal"/>
    <w:rsid w:val="00461D0A"/>
  </w:style>
  <w:style w:type="paragraph" w:customStyle="1" w:styleId="NoteHead">
    <w:name w:val="NoteHead"/>
    <w:basedOn w:val="Normal"/>
    <w:next w:val="Subject"/>
    <w:rsid w:val="00461D0A"/>
    <w:pPr>
      <w:spacing w:before="720" w:after="720"/>
      <w:jc w:val="center"/>
    </w:pPr>
    <w:rPr>
      <w:b/>
      <w:smallCaps/>
    </w:rPr>
  </w:style>
  <w:style w:type="paragraph" w:customStyle="1" w:styleId="Subject">
    <w:name w:val="Subject"/>
    <w:basedOn w:val="Normal"/>
    <w:next w:val="Normal"/>
    <w:rsid w:val="00461D0A"/>
    <w:pPr>
      <w:spacing w:after="480"/>
      <w:ind w:left="1531" w:hanging="1531"/>
      <w:jc w:val="left"/>
    </w:pPr>
    <w:rPr>
      <w:b/>
    </w:rPr>
  </w:style>
  <w:style w:type="paragraph" w:customStyle="1" w:styleId="NoteList">
    <w:name w:val="NoteList"/>
    <w:basedOn w:val="Normal"/>
    <w:next w:val="Subject"/>
    <w:rsid w:val="00461D0A"/>
    <w:pPr>
      <w:tabs>
        <w:tab w:val="left" w:pos="5823"/>
      </w:tabs>
      <w:spacing w:before="720" w:after="720"/>
      <w:ind w:left="5104" w:hanging="3119"/>
      <w:jc w:val="left"/>
    </w:pPr>
    <w:rPr>
      <w:b/>
      <w:smallCaps/>
    </w:rPr>
  </w:style>
  <w:style w:type="paragraph" w:customStyle="1" w:styleId="NumPar1">
    <w:name w:val="NumPar 1"/>
    <w:basedOn w:val="Heading1"/>
    <w:next w:val="Text1"/>
    <w:rsid w:val="00577EC6"/>
    <w:pPr>
      <w:keepNext w:val="0"/>
      <w:spacing w:before="0"/>
      <w:outlineLvl w:val="9"/>
    </w:pPr>
    <w:rPr>
      <w:b w:val="0"/>
      <w:smallCaps w:val="0"/>
    </w:rPr>
  </w:style>
  <w:style w:type="paragraph" w:customStyle="1" w:styleId="NumPar2">
    <w:name w:val="NumPar 2"/>
    <w:basedOn w:val="Heading2"/>
    <w:next w:val="Text2"/>
    <w:rsid w:val="00577EC6"/>
    <w:pPr>
      <w:keepNext w:val="0"/>
      <w:outlineLvl w:val="9"/>
    </w:pPr>
    <w:rPr>
      <w:b w:val="0"/>
    </w:rPr>
  </w:style>
  <w:style w:type="paragraph" w:customStyle="1" w:styleId="NumPar3">
    <w:name w:val="NumPar 3"/>
    <w:basedOn w:val="Heading3"/>
    <w:next w:val="Text3"/>
    <w:rsid w:val="00577EC6"/>
    <w:pPr>
      <w:keepNext w:val="0"/>
      <w:outlineLvl w:val="9"/>
    </w:pPr>
    <w:rPr>
      <w:i w:val="0"/>
    </w:rPr>
  </w:style>
  <w:style w:type="paragraph" w:customStyle="1" w:styleId="NumPar4">
    <w:name w:val="NumPar 4"/>
    <w:basedOn w:val="Heading4"/>
    <w:next w:val="Text4"/>
    <w:rsid w:val="00577EC6"/>
    <w:pPr>
      <w:keepNext w:val="0"/>
      <w:outlineLvl w:val="9"/>
    </w:pPr>
  </w:style>
  <w:style w:type="paragraph" w:customStyle="1" w:styleId="PartTitle">
    <w:name w:val="PartTitle"/>
    <w:basedOn w:val="Normal"/>
    <w:next w:val="ChapterTitle"/>
    <w:rsid w:val="00461D0A"/>
    <w:pPr>
      <w:keepNext/>
      <w:pageBreakBefore/>
      <w:spacing w:after="480"/>
      <w:jc w:val="center"/>
    </w:pPr>
    <w:rPr>
      <w:b/>
      <w:sz w:val="36"/>
    </w:rPr>
  </w:style>
  <w:style w:type="paragraph" w:styleId="PlainText">
    <w:name w:val="Plain Text"/>
    <w:basedOn w:val="Normal"/>
    <w:rsid w:val="00461D0A"/>
    <w:rPr>
      <w:rFonts w:ascii="Courier New" w:hAnsi="Courier New"/>
      <w:sz w:val="20"/>
    </w:rPr>
  </w:style>
  <w:style w:type="paragraph" w:styleId="Salutation">
    <w:name w:val="Salutation"/>
    <w:basedOn w:val="Normal"/>
    <w:next w:val="Normal"/>
    <w:rsid w:val="00461D0A"/>
  </w:style>
  <w:style w:type="paragraph" w:styleId="Signature">
    <w:name w:val="Signature"/>
    <w:basedOn w:val="Normal"/>
    <w:next w:val="Enclosures"/>
    <w:rsid w:val="00461D0A"/>
    <w:pPr>
      <w:tabs>
        <w:tab w:val="left" w:pos="5103"/>
      </w:tabs>
      <w:spacing w:before="1200" w:after="0"/>
      <w:ind w:left="5103"/>
      <w:jc w:val="center"/>
    </w:pPr>
  </w:style>
  <w:style w:type="paragraph" w:styleId="Subtitle">
    <w:name w:val="Subtitle"/>
    <w:basedOn w:val="Normal"/>
    <w:rsid w:val="00461D0A"/>
    <w:pPr>
      <w:spacing w:after="60"/>
      <w:jc w:val="center"/>
      <w:outlineLvl w:val="1"/>
    </w:pPr>
    <w:rPr>
      <w:rFonts w:ascii="Arial" w:hAnsi="Arial"/>
    </w:rPr>
  </w:style>
  <w:style w:type="paragraph" w:customStyle="1" w:styleId="SubTitle1">
    <w:name w:val="SubTitle 1"/>
    <w:basedOn w:val="Normal"/>
    <w:next w:val="SubTitle2"/>
    <w:rsid w:val="00461D0A"/>
    <w:pPr>
      <w:jc w:val="center"/>
    </w:pPr>
    <w:rPr>
      <w:b/>
      <w:sz w:val="40"/>
    </w:rPr>
  </w:style>
  <w:style w:type="paragraph" w:customStyle="1" w:styleId="SubTitle2">
    <w:name w:val="SubTitle 2"/>
    <w:basedOn w:val="Normal"/>
    <w:rsid w:val="00461D0A"/>
    <w:pPr>
      <w:jc w:val="center"/>
    </w:pPr>
    <w:rPr>
      <w:b/>
      <w:sz w:val="32"/>
    </w:rPr>
  </w:style>
  <w:style w:type="paragraph" w:styleId="TableofAuthorities">
    <w:name w:val="table of authorities"/>
    <w:basedOn w:val="Normal"/>
    <w:next w:val="Normal"/>
    <w:semiHidden/>
    <w:rsid w:val="00461D0A"/>
    <w:pPr>
      <w:ind w:left="240" w:hanging="240"/>
    </w:pPr>
  </w:style>
  <w:style w:type="paragraph" w:styleId="TableofFigures">
    <w:name w:val="table of figures"/>
    <w:basedOn w:val="Normal"/>
    <w:next w:val="Normal"/>
    <w:semiHidden/>
    <w:rsid w:val="00461D0A"/>
    <w:pPr>
      <w:ind w:left="480" w:hanging="480"/>
    </w:pPr>
  </w:style>
  <w:style w:type="paragraph" w:styleId="Title">
    <w:name w:val="Title"/>
    <w:basedOn w:val="Normal"/>
    <w:next w:val="SubTitle1"/>
    <w:rsid w:val="00461D0A"/>
    <w:pPr>
      <w:spacing w:after="480"/>
      <w:jc w:val="center"/>
    </w:pPr>
    <w:rPr>
      <w:b/>
      <w:kern w:val="28"/>
      <w:sz w:val="48"/>
    </w:rPr>
  </w:style>
  <w:style w:type="paragraph" w:styleId="TOAHeading">
    <w:name w:val="toa heading"/>
    <w:basedOn w:val="Normal"/>
    <w:next w:val="Normal"/>
    <w:semiHidden/>
    <w:rsid w:val="00461D0A"/>
    <w:pPr>
      <w:spacing w:before="120"/>
    </w:pPr>
    <w:rPr>
      <w:rFonts w:ascii="Arial" w:hAnsi="Arial"/>
      <w:b/>
    </w:rPr>
  </w:style>
  <w:style w:type="paragraph" w:styleId="TOC1">
    <w:name w:val="toc 1"/>
    <w:basedOn w:val="Normal"/>
    <w:next w:val="Normal"/>
    <w:uiPriority w:val="39"/>
    <w:rsid w:val="001D2A51"/>
    <w:pPr>
      <w:tabs>
        <w:tab w:val="right" w:leader="dot" w:pos="8640"/>
      </w:tabs>
      <w:spacing w:before="120" w:after="120"/>
      <w:ind w:left="482" w:right="720" w:hanging="482"/>
    </w:pPr>
    <w:rPr>
      <w:rFonts w:ascii="Verdana" w:hAnsi="Verdana"/>
      <w:caps/>
      <w:sz w:val="18"/>
    </w:rPr>
  </w:style>
  <w:style w:type="paragraph" w:styleId="TOC2">
    <w:name w:val="toc 2"/>
    <w:basedOn w:val="Normal"/>
    <w:next w:val="Normal"/>
    <w:uiPriority w:val="39"/>
    <w:rsid w:val="001D2A51"/>
    <w:pPr>
      <w:tabs>
        <w:tab w:val="right" w:leader="dot" w:pos="8640"/>
      </w:tabs>
      <w:spacing w:before="60" w:after="60"/>
      <w:ind w:left="1077" w:right="720" w:hanging="595"/>
    </w:pPr>
    <w:rPr>
      <w:rFonts w:ascii="Verdana" w:hAnsi="Verdana"/>
      <w:sz w:val="18"/>
    </w:rPr>
  </w:style>
  <w:style w:type="paragraph" w:styleId="TOC3">
    <w:name w:val="toc 3"/>
    <w:basedOn w:val="Normal"/>
    <w:next w:val="Normal"/>
    <w:uiPriority w:val="39"/>
    <w:semiHidden/>
    <w:qFormat/>
    <w:rsid w:val="00461D0A"/>
    <w:pPr>
      <w:tabs>
        <w:tab w:val="right" w:leader="dot" w:pos="8640"/>
      </w:tabs>
      <w:spacing w:before="60" w:after="60"/>
      <w:ind w:left="1916" w:right="720" w:hanging="839"/>
    </w:pPr>
  </w:style>
  <w:style w:type="paragraph" w:styleId="TOC4">
    <w:name w:val="toc 4"/>
    <w:basedOn w:val="Normal"/>
    <w:next w:val="Normal"/>
    <w:semiHidden/>
    <w:rsid w:val="00461D0A"/>
    <w:pPr>
      <w:tabs>
        <w:tab w:val="right" w:leader="dot" w:pos="8641"/>
      </w:tabs>
      <w:spacing w:before="60" w:after="60"/>
      <w:ind w:left="2880" w:right="720" w:hanging="964"/>
    </w:pPr>
  </w:style>
  <w:style w:type="paragraph" w:styleId="TOC5">
    <w:name w:val="toc 5"/>
    <w:basedOn w:val="Normal"/>
    <w:next w:val="Normal"/>
    <w:semiHidden/>
    <w:rsid w:val="00461D0A"/>
    <w:pPr>
      <w:tabs>
        <w:tab w:val="right" w:leader="dot" w:pos="8641"/>
      </w:tabs>
      <w:spacing w:before="240" w:after="120"/>
      <w:ind w:right="720"/>
    </w:pPr>
    <w:rPr>
      <w:caps/>
    </w:rPr>
  </w:style>
  <w:style w:type="paragraph" w:styleId="TOC6">
    <w:name w:val="toc 6"/>
    <w:basedOn w:val="Normal"/>
    <w:next w:val="Normal"/>
    <w:autoRedefine/>
    <w:semiHidden/>
    <w:rsid w:val="00461D0A"/>
    <w:pPr>
      <w:ind w:left="1200"/>
    </w:pPr>
  </w:style>
  <w:style w:type="paragraph" w:styleId="TOC7">
    <w:name w:val="toc 7"/>
    <w:basedOn w:val="Normal"/>
    <w:next w:val="Normal"/>
    <w:autoRedefine/>
    <w:semiHidden/>
    <w:rsid w:val="00461D0A"/>
    <w:pPr>
      <w:ind w:left="1440"/>
    </w:pPr>
  </w:style>
  <w:style w:type="paragraph" w:styleId="TOC8">
    <w:name w:val="toc 8"/>
    <w:basedOn w:val="Normal"/>
    <w:next w:val="Normal"/>
    <w:autoRedefine/>
    <w:semiHidden/>
    <w:rsid w:val="00461D0A"/>
    <w:pPr>
      <w:ind w:left="1680"/>
    </w:pPr>
  </w:style>
  <w:style w:type="paragraph" w:styleId="TOC9">
    <w:name w:val="toc 9"/>
    <w:basedOn w:val="Normal"/>
    <w:next w:val="Normal"/>
    <w:autoRedefine/>
    <w:semiHidden/>
    <w:rsid w:val="00461D0A"/>
    <w:pPr>
      <w:ind w:left="1920"/>
    </w:pPr>
  </w:style>
  <w:style w:type="paragraph" w:customStyle="1" w:styleId="YReferences">
    <w:name w:val="YReferences"/>
    <w:basedOn w:val="Normal"/>
    <w:next w:val="Normal"/>
    <w:rsid w:val="00461D0A"/>
    <w:pPr>
      <w:spacing w:after="480"/>
      <w:ind w:left="1531" w:hanging="1531"/>
    </w:pPr>
  </w:style>
  <w:style w:type="paragraph" w:customStyle="1" w:styleId="ListBullet1">
    <w:name w:val="List Bullet 1"/>
    <w:basedOn w:val="Text1"/>
    <w:rsid w:val="00577EC6"/>
    <w:pPr>
      <w:numPr>
        <w:numId w:val="5"/>
      </w:numPr>
    </w:pPr>
  </w:style>
  <w:style w:type="paragraph" w:customStyle="1" w:styleId="ListDash">
    <w:name w:val="List Dash"/>
    <w:basedOn w:val="Normal"/>
    <w:rsid w:val="00577EC6"/>
    <w:pPr>
      <w:numPr>
        <w:numId w:val="9"/>
      </w:numPr>
    </w:pPr>
  </w:style>
  <w:style w:type="paragraph" w:customStyle="1" w:styleId="ListDash1">
    <w:name w:val="List Dash 1"/>
    <w:basedOn w:val="Text1"/>
    <w:rsid w:val="00577EC6"/>
    <w:pPr>
      <w:numPr>
        <w:numId w:val="10"/>
      </w:numPr>
    </w:pPr>
  </w:style>
  <w:style w:type="paragraph" w:customStyle="1" w:styleId="ListDash2">
    <w:name w:val="List Dash 2"/>
    <w:basedOn w:val="Text2"/>
    <w:rsid w:val="00577EC6"/>
    <w:pPr>
      <w:numPr>
        <w:numId w:val="11"/>
      </w:numPr>
      <w:tabs>
        <w:tab w:val="clear" w:pos="2302"/>
      </w:tabs>
    </w:pPr>
  </w:style>
  <w:style w:type="paragraph" w:customStyle="1" w:styleId="ListDash3">
    <w:name w:val="List Dash 3"/>
    <w:basedOn w:val="Text3"/>
    <w:rsid w:val="00577EC6"/>
    <w:pPr>
      <w:numPr>
        <w:numId w:val="12"/>
      </w:numPr>
      <w:tabs>
        <w:tab w:val="clear" w:pos="2302"/>
      </w:tabs>
    </w:pPr>
  </w:style>
  <w:style w:type="paragraph" w:customStyle="1" w:styleId="ListDash4">
    <w:name w:val="List Dash 4"/>
    <w:basedOn w:val="Text4"/>
    <w:rsid w:val="00577EC6"/>
    <w:pPr>
      <w:numPr>
        <w:numId w:val="13"/>
      </w:numPr>
      <w:tabs>
        <w:tab w:val="clear" w:pos="2302"/>
      </w:tabs>
    </w:pPr>
  </w:style>
  <w:style w:type="paragraph" w:customStyle="1" w:styleId="ListNumberLevel2">
    <w:name w:val="List Number (Level 2)"/>
    <w:basedOn w:val="Normal"/>
    <w:rsid w:val="00577EC6"/>
    <w:pPr>
      <w:numPr>
        <w:ilvl w:val="1"/>
        <w:numId w:val="14"/>
      </w:numPr>
    </w:pPr>
  </w:style>
  <w:style w:type="paragraph" w:customStyle="1" w:styleId="ListNumberLevel3">
    <w:name w:val="List Number (Level 3)"/>
    <w:basedOn w:val="Normal"/>
    <w:rsid w:val="00577EC6"/>
    <w:pPr>
      <w:numPr>
        <w:ilvl w:val="2"/>
        <w:numId w:val="14"/>
      </w:numPr>
    </w:pPr>
  </w:style>
  <w:style w:type="paragraph" w:customStyle="1" w:styleId="ListNumberLevel4">
    <w:name w:val="List Number (Level 4)"/>
    <w:basedOn w:val="Normal"/>
    <w:rsid w:val="00577EC6"/>
    <w:pPr>
      <w:numPr>
        <w:ilvl w:val="3"/>
        <w:numId w:val="14"/>
      </w:numPr>
    </w:pPr>
  </w:style>
  <w:style w:type="paragraph" w:customStyle="1" w:styleId="ListNumber1">
    <w:name w:val="List Number 1"/>
    <w:basedOn w:val="Text1"/>
    <w:rsid w:val="00577EC6"/>
    <w:pPr>
      <w:numPr>
        <w:numId w:val="15"/>
      </w:numPr>
    </w:pPr>
  </w:style>
  <w:style w:type="paragraph" w:customStyle="1" w:styleId="ListNumber1Level2">
    <w:name w:val="List Number 1 (Level 2)"/>
    <w:basedOn w:val="Text1"/>
    <w:rsid w:val="00577EC6"/>
    <w:pPr>
      <w:numPr>
        <w:ilvl w:val="1"/>
        <w:numId w:val="15"/>
      </w:numPr>
    </w:pPr>
  </w:style>
  <w:style w:type="paragraph" w:customStyle="1" w:styleId="ListNumber1Level3">
    <w:name w:val="List Number 1 (Level 3)"/>
    <w:basedOn w:val="Text1"/>
    <w:rsid w:val="00577EC6"/>
    <w:pPr>
      <w:numPr>
        <w:ilvl w:val="2"/>
        <w:numId w:val="15"/>
      </w:numPr>
    </w:pPr>
  </w:style>
  <w:style w:type="paragraph" w:customStyle="1" w:styleId="ListNumber1Level4">
    <w:name w:val="List Number 1 (Level 4)"/>
    <w:basedOn w:val="Text1"/>
    <w:rsid w:val="00577EC6"/>
    <w:pPr>
      <w:numPr>
        <w:ilvl w:val="3"/>
        <w:numId w:val="15"/>
      </w:numPr>
    </w:pPr>
  </w:style>
  <w:style w:type="paragraph" w:customStyle="1" w:styleId="ListNumber2Level2">
    <w:name w:val="List Number 2 (Level 2)"/>
    <w:basedOn w:val="Text2"/>
    <w:rsid w:val="00577EC6"/>
    <w:pPr>
      <w:numPr>
        <w:ilvl w:val="1"/>
        <w:numId w:val="16"/>
      </w:numPr>
      <w:tabs>
        <w:tab w:val="clear" w:pos="2302"/>
      </w:tabs>
    </w:pPr>
  </w:style>
  <w:style w:type="paragraph" w:customStyle="1" w:styleId="ListNumber2Level3">
    <w:name w:val="List Number 2 (Level 3)"/>
    <w:basedOn w:val="Text2"/>
    <w:rsid w:val="00577EC6"/>
    <w:pPr>
      <w:numPr>
        <w:ilvl w:val="2"/>
        <w:numId w:val="16"/>
      </w:numPr>
      <w:tabs>
        <w:tab w:val="clear" w:pos="2302"/>
      </w:tabs>
    </w:pPr>
  </w:style>
  <w:style w:type="paragraph" w:customStyle="1" w:styleId="ListNumber2Level4">
    <w:name w:val="List Number 2 (Level 4)"/>
    <w:basedOn w:val="Text2"/>
    <w:rsid w:val="00577EC6"/>
    <w:pPr>
      <w:numPr>
        <w:ilvl w:val="3"/>
        <w:numId w:val="16"/>
      </w:numPr>
      <w:tabs>
        <w:tab w:val="clear" w:pos="2302"/>
      </w:tabs>
    </w:pPr>
  </w:style>
  <w:style w:type="paragraph" w:customStyle="1" w:styleId="ListNumber3Level2">
    <w:name w:val="List Number 3 (Level 2)"/>
    <w:basedOn w:val="Text3"/>
    <w:rsid w:val="00577EC6"/>
    <w:pPr>
      <w:numPr>
        <w:ilvl w:val="1"/>
        <w:numId w:val="17"/>
      </w:numPr>
      <w:tabs>
        <w:tab w:val="clear" w:pos="2302"/>
      </w:tabs>
    </w:pPr>
  </w:style>
  <w:style w:type="paragraph" w:customStyle="1" w:styleId="ListNumber3Level3">
    <w:name w:val="List Number 3 (Level 3)"/>
    <w:basedOn w:val="Text3"/>
    <w:rsid w:val="00577EC6"/>
    <w:pPr>
      <w:numPr>
        <w:ilvl w:val="2"/>
        <w:numId w:val="17"/>
      </w:numPr>
      <w:tabs>
        <w:tab w:val="clear" w:pos="2302"/>
      </w:tabs>
    </w:pPr>
  </w:style>
  <w:style w:type="paragraph" w:customStyle="1" w:styleId="ListNumber3Level4">
    <w:name w:val="List Number 3 (Level 4)"/>
    <w:basedOn w:val="Text3"/>
    <w:rsid w:val="00577EC6"/>
    <w:pPr>
      <w:numPr>
        <w:ilvl w:val="3"/>
        <w:numId w:val="17"/>
      </w:numPr>
      <w:tabs>
        <w:tab w:val="clear" w:pos="2302"/>
      </w:tabs>
    </w:pPr>
  </w:style>
  <w:style w:type="paragraph" w:customStyle="1" w:styleId="ListNumber4Level2">
    <w:name w:val="List Number 4 (Level 2)"/>
    <w:basedOn w:val="Text4"/>
    <w:rsid w:val="00577EC6"/>
    <w:pPr>
      <w:numPr>
        <w:ilvl w:val="1"/>
        <w:numId w:val="18"/>
      </w:numPr>
      <w:tabs>
        <w:tab w:val="clear" w:pos="2302"/>
      </w:tabs>
    </w:pPr>
  </w:style>
  <w:style w:type="paragraph" w:customStyle="1" w:styleId="ListNumber4Level3">
    <w:name w:val="List Number 4 (Level 3)"/>
    <w:basedOn w:val="Text4"/>
    <w:rsid w:val="00577EC6"/>
    <w:pPr>
      <w:numPr>
        <w:ilvl w:val="2"/>
        <w:numId w:val="18"/>
      </w:numPr>
      <w:tabs>
        <w:tab w:val="clear" w:pos="2302"/>
      </w:tabs>
    </w:pPr>
  </w:style>
  <w:style w:type="paragraph" w:customStyle="1" w:styleId="ListNumber4Level4">
    <w:name w:val="List Number 4 (Level 4)"/>
    <w:basedOn w:val="Text4"/>
    <w:rsid w:val="00577EC6"/>
    <w:pPr>
      <w:numPr>
        <w:ilvl w:val="3"/>
        <w:numId w:val="18"/>
      </w:numPr>
      <w:tabs>
        <w:tab w:val="clear" w:pos="2302"/>
      </w:tabs>
    </w:pPr>
  </w:style>
  <w:style w:type="paragraph" w:customStyle="1" w:styleId="TOCHeading1">
    <w:name w:val="TOC Heading1"/>
    <w:basedOn w:val="Normal"/>
    <w:next w:val="Normal"/>
    <w:rsid w:val="00461D0A"/>
    <w:pPr>
      <w:keepNext/>
      <w:spacing w:before="240"/>
      <w:jc w:val="center"/>
    </w:pPr>
    <w:rPr>
      <w:b/>
    </w:rPr>
  </w:style>
  <w:style w:type="paragraph" w:customStyle="1" w:styleId="Contact">
    <w:name w:val="Contact"/>
    <w:basedOn w:val="Normal"/>
    <w:next w:val="Normal"/>
    <w:rsid w:val="00461D0A"/>
    <w:pPr>
      <w:spacing w:after="480"/>
      <w:ind w:left="567" w:hanging="567"/>
      <w:jc w:val="left"/>
    </w:pPr>
  </w:style>
  <w:style w:type="paragraph" w:customStyle="1" w:styleId="ZCom">
    <w:name w:val="Z_Com"/>
    <w:basedOn w:val="Normal"/>
    <w:next w:val="ZDGName"/>
    <w:rsid w:val="00D63776"/>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rsid w:val="00D63776"/>
    <w:pPr>
      <w:widowControl w:val="0"/>
      <w:autoSpaceDE w:val="0"/>
      <w:autoSpaceDN w:val="0"/>
      <w:spacing w:after="0"/>
      <w:ind w:right="85"/>
      <w:jc w:val="left"/>
    </w:pPr>
    <w:rPr>
      <w:rFonts w:ascii="Arial" w:hAnsi="Arial" w:cs="Arial"/>
      <w:sz w:val="16"/>
      <w:szCs w:val="16"/>
      <w:lang w:eastAsia="en-GB"/>
    </w:rPr>
  </w:style>
  <w:style w:type="character" w:styleId="Hyperlink">
    <w:name w:val="Hyperlink"/>
    <w:uiPriority w:val="99"/>
    <w:rsid w:val="006914AD"/>
    <w:rPr>
      <w:color w:val="0000FF"/>
      <w:u w:val="single"/>
    </w:rPr>
  </w:style>
  <w:style w:type="character" w:styleId="FootnoteReference">
    <w:name w:val="footnote reference"/>
    <w:aliases w:val="Footnote symbol,Footnote reference number,Footnote,Times 10 Point,Exposant 3 Point,Ref,de nota al pie,note TESI,SUPERS,EN Footnote text,EN Footnote Reference,stylish,number,-E Fußnotenzeichen,16 Point,Superscript 6 Point,BVI fnr,no..."/>
    <w:link w:val="SUPERSCar"/>
    <w:uiPriority w:val="99"/>
    <w:qFormat/>
    <w:rsid w:val="00C20711"/>
    <w:rPr>
      <w:sz w:val="20"/>
      <w:szCs w:val="20"/>
      <w:vertAlign w:val="superscript"/>
    </w:rPr>
  </w:style>
  <w:style w:type="table" w:styleId="ColorfulGrid-Accent3">
    <w:name w:val="Colorful Grid Accent 3"/>
    <w:basedOn w:val="TableNormal"/>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alloonText">
    <w:name w:val="Balloon Text"/>
    <w:basedOn w:val="Normal"/>
    <w:link w:val="BalloonTextChar"/>
    <w:uiPriority w:val="99"/>
    <w:semiHidden/>
    <w:rsid w:val="00E52A1D"/>
    <w:rPr>
      <w:rFonts w:ascii="Tahoma" w:hAnsi="Tahoma" w:cs="Tahoma"/>
      <w:sz w:val="16"/>
      <w:szCs w:val="16"/>
    </w:rPr>
  </w:style>
  <w:style w:type="paragraph" w:customStyle="1" w:styleId="DocumentTitle">
    <w:name w:val="Document Title"/>
    <w:basedOn w:val="Normal"/>
    <w:link w:val="DocumentTitleChar"/>
    <w:qFormat/>
    <w:rsid w:val="001E6AC6"/>
    <w:pPr>
      <w:jc w:val="center"/>
    </w:pPr>
    <w:rPr>
      <w:rFonts w:ascii="Verdana" w:hAnsi="Verdana"/>
      <w:b/>
      <w:sz w:val="52"/>
    </w:rPr>
  </w:style>
  <w:style w:type="paragraph" w:customStyle="1" w:styleId="Footerapproval">
    <w:name w:val="Footer approval"/>
    <w:basedOn w:val="Footer"/>
    <w:link w:val="ApprovalfooterChar"/>
    <w:qFormat/>
    <w:rsid w:val="00ED7D13"/>
    <w:pPr>
      <w:tabs>
        <w:tab w:val="left" w:pos="6804"/>
      </w:tabs>
    </w:pPr>
    <w:rPr>
      <w:rFonts w:ascii="Verdana" w:hAnsi="Verdana"/>
      <w:sz w:val="13"/>
      <w:lang w:val="fr-BE"/>
    </w:rPr>
  </w:style>
  <w:style w:type="character" w:customStyle="1" w:styleId="DocumentTitleChar">
    <w:name w:val="Document Title Char"/>
    <w:link w:val="DocumentTitle"/>
    <w:rsid w:val="001E6AC6"/>
    <w:rPr>
      <w:rFonts w:ascii="Verdana" w:hAnsi="Verdana"/>
      <w:b/>
      <w:sz w:val="52"/>
      <w:lang w:val="fr-FR" w:eastAsia="en-US"/>
    </w:rPr>
  </w:style>
  <w:style w:type="paragraph" w:customStyle="1" w:styleId="FooterDate">
    <w:name w:val="Footer Date"/>
    <w:basedOn w:val="Footer"/>
    <w:link w:val="FooterDateChar"/>
    <w:rsid w:val="00EE60CF"/>
    <w:pPr>
      <w:tabs>
        <w:tab w:val="right" w:pos="9240"/>
      </w:tabs>
    </w:pPr>
    <w:rPr>
      <w:rFonts w:ascii="Verdana" w:hAnsi="Verdana"/>
      <w:lang w:val="it-IT"/>
    </w:rPr>
  </w:style>
  <w:style w:type="character" w:customStyle="1" w:styleId="FooterChar">
    <w:name w:val="Footer Char"/>
    <w:link w:val="Footer"/>
    <w:uiPriority w:val="99"/>
    <w:rsid w:val="00EE60CF"/>
    <w:rPr>
      <w:rFonts w:ascii="Arial" w:hAnsi="Arial"/>
      <w:sz w:val="16"/>
      <w:lang w:val="fr-FR"/>
    </w:rPr>
  </w:style>
  <w:style w:type="character" w:customStyle="1" w:styleId="ApprovalfooterChar">
    <w:name w:val="Approval_footer Char"/>
    <w:basedOn w:val="FooterChar"/>
    <w:link w:val="Footerapproval"/>
    <w:rsid w:val="00EE60CF"/>
    <w:rPr>
      <w:rFonts w:ascii="Arial" w:hAnsi="Arial"/>
      <w:sz w:val="16"/>
      <w:lang w:val="fr-FR"/>
    </w:rPr>
  </w:style>
  <w:style w:type="paragraph" w:customStyle="1" w:styleId="PageNumber1">
    <w:name w:val="Page Number1"/>
    <w:basedOn w:val="Footer"/>
    <w:link w:val="PagenumberChar"/>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HeaderChar">
    <w:name w:val="Header Char"/>
    <w:link w:val="Header"/>
    <w:uiPriority w:val="99"/>
    <w:rsid w:val="00EE60CF"/>
    <w:rPr>
      <w:sz w:val="24"/>
      <w:lang w:val="fr-FR"/>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qFormat/>
    <w:rsid w:val="003C7A25"/>
    <w:rPr>
      <w:b w:val="0"/>
      <w:sz w:val="32"/>
      <w:szCs w:val="36"/>
    </w:rPr>
  </w:style>
  <w:style w:type="paragraph" w:customStyle="1" w:styleId="HeaderTitle">
    <w:name w:val="Header Title"/>
    <w:basedOn w:val="Normal"/>
    <w:link w:val="HeaderTitleChar"/>
    <w:rsid w:val="002A726D"/>
    <w:pPr>
      <w:jc w:val="center"/>
    </w:pPr>
    <w:rPr>
      <w:rFonts w:ascii="Verdana" w:hAnsi="Verdana"/>
      <w:b/>
      <w:color w:val="808080"/>
      <w:sz w:val="18"/>
      <w:szCs w:val="18"/>
    </w:rPr>
  </w:style>
  <w:style w:type="character" w:customStyle="1" w:styleId="DocumentSubtitleChar">
    <w:name w:val="Document Subtitle Char"/>
    <w:link w:val="DocumentSubtitle"/>
    <w:rsid w:val="003C7A25"/>
    <w:rPr>
      <w:rFonts w:ascii="Verdana" w:hAnsi="Verdana"/>
      <w:sz w:val="32"/>
      <w:szCs w:val="36"/>
      <w:lang w:val="en-GB" w:eastAsia="en-US"/>
    </w:rPr>
  </w:style>
  <w:style w:type="paragraph" w:customStyle="1" w:styleId="Bulletpoint1">
    <w:name w:val="Bullet point1"/>
    <w:basedOn w:val="NormalIndent"/>
    <w:link w:val="Bulletpoint1Char"/>
    <w:qFormat/>
    <w:rsid w:val="007F3473"/>
    <w:pPr>
      <w:numPr>
        <w:numId w:val="20"/>
      </w:numPr>
      <w:spacing w:after="120"/>
      <w:jc w:val="left"/>
    </w:pPr>
    <w:rPr>
      <w:rFonts w:ascii="Verdana" w:hAnsi="Verdana"/>
      <w:sz w:val="18"/>
    </w:rPr>
  </w:style>
  <w:style w:type="character" w:customStyle="1" w:styleId="HeaderTitleChar">
    <w:name w:val="Header Title Char"/>
    <w:link w:val="HeaderTitle"/>
    <w:rsid w:val="002A726D"/>
    <w:rPr>
      <w:rFonts w:ascii="Verdana" w:hAnsi="Verdana"/>
      <w:b/>
      <w:color w:val="808080"/>
      <w:sz w:val="18"/>
      <w:szCs w:val="18"/>
      <w:lang w:val="fr-FR"/>
    </w:rPr>
  </w:style>
  <w:style w:type="paragraph" w:customStyle="1" w:styleId="Heading">
    <w:name w:val="Heading"/>
    <w:basedOn w:val="TOC1"/>
    <w:link w:val="HeadingChar"/>
    <w:qFormat/>
    <w:rsid w:val="009370CD"/>
    <w:pPr>
      <w:widowControl w:val="0"/>
      <w:autoSpaceDE w:val="0"/>
      <w:autoSpaceDN w:val="0"/>
      <w:adjustRightInd w:val="0"/>
      <w:spacing w:after="0"/>
      <w:ind w:left="0" w:firstLine="0"/>
      <w:jc w:val="left"/>
    </w:pPr>
    <w:rPr>
      <w:b/>
      <w:sz w:val="20"/>
      <w:u w:val="single"/>
    </w:rPr>
  </w:style>
  <w:style w:type="character" w:customStyle="1" w:styleId="NormalIndentChar">
    <w:name w:val="Normal Indent Char"/>
    <w:link w:val="NormalIndent"/>
    <w:rsid w:val="007A4813"/>
    <w:rPr>
      <w:sz w:val="24"/>
      <w:lang w:val="fr-FR"/>
    </w:rPr>
  </w:style>
  <w:style w:type="character" w:customStyle="1" w:styleId="Bulletpoint1Char">
    <w:name w:val="Bullet point1 Char"/>
    <w:basedOn w:val="NormalIndentChar"/>
    <w:link w:val="Bulletpoint1"/>
    <w:rsid w:val="007F3473"/>
    <w:rPr>
      <w:rFonts w:ascii="Verdana" w:hAnsi="Verdana"/>
      <w:sz w:val="18"/>
      <w:lang w:val="en-GB" w:eastAsia="en-US"/>
    </w:rPr>
  </w:style>
  <w:style w:type="paragraph" w:customStyle="1" w:styleId="BulletPoint2">
    <w:name w:val="Bullet Point 2"/>
    <w:basedOn w:val="NormalIndent"/>
    <w:link w:val="BulletPoint2Char"/>
    <w:qFormat/>
    <w:rsid w:val="00577EC6"/>
    <w:pPr>
      <w:numPr>
        <w:numId w:val="19"/>
      </w:numPr>
      <w:spacing w:after="120"/>
      <w:ind w:left="1077" w:hanging="357"/>
      <w:jc w:val="left"/>
    </w:pPr>
    <w:rPr>
      <w:rFonts w:ascii="Verdana" w:hAnsi="Verdana"/>
      <w:sz w:val="18"/>
    </w:rPr>
  </w:style>
  <w:style w:type="character" w:customStyle="1" w:styleId="HeadingChar">
    <w:name w:val="Heading Char"/>
    <w:link w:val="Heading"/>
    <w:rsid w:val="00B14205"/>
    <w:rPr>
      <w:rFonts w:ascii="Verdana" w:hAnsi="Verdana"/>
      <w:b/>
      <w:caps/>
      <w:u w:val="single"/>
      <w:lang w:val="fr-FR"/>
    </w:rPr>
  </w:style>
  <w:style w:type="paragraph" w:customStyle="1" w:styleId="Body">
    <w:name w:val="Body"/>
    <w:basedOn w:val="Normal"/>
    <w:link w:val="BodyChar"/>
    <w:qFormat/>
    <w:rsid w:val="00ED7D13"/>
    <w:pPr>
      <w:jc w:val="left"/>
    </w:pPr>
    <w:rPr>
      <w:rFonts w:ascii="Verdana" w:hAnsi="Verdana"/>
      <w:sz w:val="18"/>
    </w:rPr>
  </w:style>
  <w:style w:type="character" w:customStyle="1" w:styleId="BulletPoint2Char">
    <w:name w:val="Bullet Point 2 Char"/>
    <w:link w:val="BulletPoint2"/>
    <w:rsid w:val="00577EC6"/>
    <w:rPr>
      <w:rFonts w:ascii="Verdana" w:hAnsi="Verdana"/>
      <w:sz w:val="18"/>
      <w:lang w:val="en-GB" w:eastAsia="en-US"/>
    </w:rPr>
  </w:style>
  <w:style w:type="paragraph" w:customStyle="1" w:styleId="Heading20">
    <w:name w:val="Heading2"/>
    <w:basedOn w:val="Title2"/>
    <w:link w:val="Heading2Char"/>
    <w:qFormat/>
    <w:rsid w:val="009370CD"/>
    <w:pPr>
      <w:numPr>
        <w:numId w:val="0"/>
      </w:numPr>
    </w:pPr>
    <w:rPr>
      <w:rFonts w:ascii="Verdana" w:hAnsi="Verdana"/>
      <w:b/>
      <w:i/>
    </w:rPr>
  </w:style>
  <w:style w:type="character" w:customStyle="1" w:styleId="BodyChar">
    <w:name w:val="Body Char"/>
    <w:link w:val="Body"/>
    <w:rsid w:val="00ED7D13"/>
    <w:rPr>
      <w:rFonts w:ascii="Verdana" w:hAnsi="Verdana"/>
      <w:sz w:val="18"/>
      <w:lang w:val="fr-FR" w:eastAsia="en-US"/>
    </w:rPr>
  </w:style>
  <w:style w:type="table" w:styleId="TableGrid">
    <w:name w:val="Table Grid"/>
    <w:aliases w:val="Document Table"/>
    <w:basedOn w:val="TableNormal"/>
    <w:uiPriority w:val="59"/>
    <w:rsid w:val="007F3473"/>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Heading2Char">
    <w:name w:val="Heading2 Char"/>
    <w:link w:val="Heading20"/>
    <w:rsid w:val="009370CD"/>
    <w:rPr>
      <w:rFonts w:ascii="Verdana" w:hAnsi="Verdana"/>
      <w:b/>
      <w:i/>
      <w:sz w:val="24"/>
      <w:lang w:val="fr-FR" w:eastAsia="en-US"/>
    </w:rPr>
  </w:style>
  <w:style w:type="table" w:customStyle="1" w:styleId="Style1">
    <w:name w:val="Style1"/>
    <w:basedOn w:val="TableNormal"/>
    <w:rsid w:val="00EF7057"/>
    <w:tblPr/>
  </w:style>
  <w:style w:type="table" w:styleId="TableElegant">
    <w:name w:val="Table Elegant"/>
    <w:basedOn w:val="TableNormal"/>
    <w:rsid w:val="00EF7057"/>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rsid w:val="00F5647F"/>
    <w:pPr>
      <w:spacing w:after="0"/>
    </w:pPr>
    <w:rPr>
      <w:i/>
      <w:noProof/>
      <w:sz w:val="13"/>
      <w:lang w:val="en-US"/>
    </w:rPr>
  </w:style>
  <w:style w:type="character" w:customStyle="1" w:styleId="FooterDocumentChar">
    <w:name w:val="Footer Document Char"/>
    <w:link w:val="FooterDocument"/>
    <w:rsid w:val="00F5647F"/>
    <w:rPr>
      <w:rFonts w:ascii="Verdana" w:hAnsi="Verdana"/>
      <w:i/>
      <w:noProof/>
      <w:sz w:val="13"/>
      <w:lang w:val="en-US" w:eastAsia="en-US"/>
    </w:rPr>
  </w:style>
  <w:style w:type="paragraph" w:styleId="TOCHeading">
    <w:name w:val="TOC Heading"/>
    <w:basedOn w:val="Heading1"/>
    <w:next w:val="Normal"/>
    <w:uiPriority w:val="39"/>
    <w:unhideWhenUsed/>
    <w:qFormat/>
    <w:rsid w:val="000A7FCF"/>
    <w:pPr>
      <w:keepLines/>
      <w:numPr>
        <w:numId w:val="0"/>
      </w:numPr>
      <w:spacing w:before="480" w:after="0" w:line="276" w:lineRule="auto"/>
      <w:jc w:val="left"/>
      <w:outlineLvl w:val="9"/>
    </w:pPr>
    <w:rPr>
      <w:rFonts w:asciiTheme="majorHAnsi" w:eastAsiaTheme="majorEastAsia" w:hAnsiTheme="majorHAnsi" w:cstheme="majorBidi"/>
      <w:bCs/>
      <w:smallCaps w:val="0"/>
      <w:color w:val="365F91" w:themeColor="accent1" w:themeShade="BF"/>
      <w:sz w:val="28"/>
      <w:szCs w:val="28"/>
      <w:lang w:val="en-US"/>
    </w:rPr>
  </w:style>
  <w:style w:type="paragraph" w:customStyle="1" w:styleId="Title2">
    <w:name w:val="Title 2"/>
    <w:basedOn w:val="Normal"/>
    <w:rsid w:val="00B14205"/>
    <w:pPr>
      <w:numPr>
        <w:numId w:val="21"/>
      </w:numPr>
    </w:pPr>
  </w:style>
  <w:style w:type="paragraph" w:customStyle="1" w:styleId="Subtitle0">
    <w:name w:val="Subtitle_"/>
    <w:basedOn w:val="TOC2"/>
    <w:link w:val="SubtitleChar"/>
    <w:qFormat/>
    <w:rsid w:val="001D2A51"/>
    <w:pPr>
      <w:ind w:left="0" w:firstLine="0"/>
    </w:pPr>
    <w:rPr>
      <w:b/>
      <w:i/>
      <w:sz w:val="20"/>
    </w:rPr>
  </w:style>
  <w:style w:type="character" w:customStyle="1" w:styleId="SubtitleChar">
    <w:name w:val="Subtitle_ Char"/>
    <w:basedOn w:val="Heading2Char"/>
    <w:link w:val="Subtitle0"/>
    <w:rsid w:val="001D2A51"/>
    <w:rPr>
      <w:rFonts w:ascii="Verdana" w:hAnsi="Verdana"/>
      <w:b/>
      <w:i/>
      <w:sz w:val="24"/>
      <w:lang w:val="fr-FR" w:eastAsia="en-US"/>
    </w:rPr>
  </w:style>
  <w:style w:type="paragraph" w:customStyle="1" w:styleId="HeadingBody">
    <w:name w:val="Heading Body"/>
    <w:basedOn w:val="Normal"/>
    <w:link w:val="HeadingBodyChar"/>
    <w:qFormat/>
    <w:rsid w:val="001D2A51"/>
    <w:pPr>
      <w:spacing w:after="120"/>
    </w:pPr>
    <w:rPr>
      <w:rFonts w:ascii="Verdana" w:hAnsi="Verdana"/>
      <w:b/>
      <w:sz w:val="20"/>
      <w:szCs w:val="18"/>
    </w:rPr>
  </w:style>
  <w:style w:type="paragraph" w:customStyle="1" w:styleId="Titlepublication">
    <w:name w:val="Title publication"/>
    <w:basedOn w:val="Normal"/>
    <w:link w:val="TitlepublicationChar"/>
    <w:qFormat/>
    <w:rsid w:val="001D2A51"/>
    <w:pPr>
      <w:jc w:val="center"/>
    </w:pPr>
    <w:rPr>
      <w:rFonts w:ascii="Verdana" w:hAnsi="Verdana"/>
      <w:b/>
      <w:color w:val="FF0000"/>
      <w:sz w:val="52"/>
      <w:szCs w:val="52"/>
    </w:rPr>
  </w:style>
  <w:style w:type="character" w:customStyle="1" w:styleId="HeadingBodyChar">
    <w:name w:val="Heading Body Char"/>
    <w:basedOn w:val="DefaultParagraphFont"/>
    <w:link w:val="HeadingBody"/>
    <w:rsid w:val="001D2A51"/>
    <w:rPr>
      <w:rFonts w:ascii="Verdana" w:hAnsi="Verdana"/>
      <w:b/>
      <w:szCs w:val="18"/>
      <w:lang w:val="en-GB" w:eastAsia="en-US"/>
    </w:rPr>
  </w:style>
  <w:style w:type="paragraph" w:customStyle="1" w:styleId="Subtitlepublication">
    <w:name w:val="Subtitle publication"/>
    <w:basedOn w:val="Normal"/>
    <w:link w:val="SubtitlepublicationChar"/>
    <w:qFormat/>
    <w:rsid w:val="003C7A25"/>
    <w:pPr>
      <w:jc w:val="center"/>
    </w:pPr>
    <w:rPr>
      <w:rFonts w:ascii="Verdana" w:hAnsi="Verdana"/>
      <w:b/>
      <w:i/>
      <w:color w:val="FF0000"/>
      <w:sz w:val="32"/>
    </w:rPr>
  </w:style>
  <w:style w:type="character" w:customStyle="1" w:styleId="TitlepublicationChar">
    <w:name w:val="Title publication Char"/>
    <w:basedOn w:val="DefaultParagraphFont"/>
    <w:link w:val="Titlepublication"/>
    <w:rsid w:val="001D2A51"/>
    <w:rPr>
      <w:rFonts w:ascii="Verdana" w:hAnsi="Verdana"/>
      <w:b/>
      <w:color w:val="FF0000"/>
      <w:sz w:val="52"/>
      <w:szCs w:val="52"/>
      <w:lang w:val="en-GB" w:eastAsia="en-US"/>
    </w:rPr>
  </w:style>
  <w:style w:type="paragraph" w:customStyle="1" w:styleId="Editorname">
    <w:name w:val="Editor name"/>
    <w:basedOn w:val="Normal"/>
    <w:link w:val="EditornameChar"/>
    <w:qFormat/>
    <w:rsid w:val="001D2A51"/>
    <w:pPr>
      <w:jc w:val="center"/>
    </w:pPr>
    <w:rPr>
      <w:rFonts w:ascii="Verdana" w:hAnsi="Verdana"/>
      <w:color w:val="FF0000"/>
    </w:rPr>
  </w:style>
  <w:style w:type="character" w:customStyle="1" w:styleId="SubtitlepublicationChar">
    <w:name w:val="Subtitle publication Char"/>
    <w:basedOn w:val="DefaultParagraphFont"/>
    <w:link w:val="Subtitlepublication"/>
    <w:rsid w:val="003C7A25"/>
    <w:rPr>
      <w:rFonts w:ascii="Verdana" w:hAnsi="Verdana"/>
      <w:b/>
      <w:i/>
      <w:color w:val="FF0000"/>
      <w:sz w:val="32"/>
      <w:lang w:val="en-GB" w:eastAsia="en-US"/>
    </w:rPr>
  </w:style>
  <w:style w:type="paragraph" w:customStyle="1" w:styleId="Backcoversummary">
    <w:name w:val="Backcover_summary"/>
    <w:basedOn w:val="Normal"/>
    <w:link w:val="BackcoversummaryChar"/>
    <w:qFormat/>
    <w:rsid w:val="001D2A51"/>
    <w:rPr>
      <w:rFonts w:ascii="Verdana" w:hAnsi="Verdana"/>
      <w:color w:val="FF0000"/>
    </w:rPr>
  </w:style>
  <w:style w:type="character" w:customStyle="1" w:styleId="EditornameChar">
    <w:name w:val="Editor name Char"/>
    <w:basedOn w:val="DefaultParagraphFont"/>
    <w:link w:val="Editorname"/>
    <w:rsid w:val="001D2A51"/>
    <w:rPr>
      <w:rFonts w:ascii="Verdana" w:hAnsi="Verdana"/>
      <w:color w:val="FF0000"/>
      <w:sz w:val="24"/>
      <w:lang w:val="en-GB" w:eastAsia="en-US"/>
    </w:rPr>
  </w:style>
  <w:style w:type="paragraph" w:customStyle="1" w:styleId="Backcovercategory">
    <w:name w:val="Backcover_category"/>
    <w:basedOn w:val="Normal"/>
    <w:link w:val="BackcovercategoryChar"/>
    <w:qFormat/>
    <w:rsid w:val="001D2A51"/>
    <w:pPr>
      <w:ind w:right="28"/>
    </w:pPr>
    <w:rPr>
      <w:rFonts w:ascii="Verdana" w:hAnsi="Verdana"/>
      <w:i/>
      <w:color w:val="FF0000"/>
      <w:sz w:val="18"/>
    </w:rPr>
  </w:style>
  <w:style w:type="character" w:customStyle="1" w:styleId="BackcoversummaryChar">
    <w:name w:val="Backcover_summary Char"/>
    <w:basedOn w:val="DefaultParagraphFont"/>
    <w:link w:val="Backcoversummary"/>
    <w:rsid w:val="001D2A51"/>
    <w:rPr>
      <w:rFonts w:ascii="Verdana" w:hAnsi="Verdana"/>
      <w:color w:val="FF0000"/>
      <w:sz w:val="24"/>
      <w:lang w:val="en-GB" w:eastAsia="en-US"/>
    </w:rPr>
  </w:style>
  <w:style w:type="character" w:customStyle="1" w:styleId="BackcovercategoryChar">
    <w:name w:val="Backcover_category Char"/>
    <w:basedOn w:val="DefaultParagraphFont"/>
    <w:link w:val="Backcovercategory"/>
    <w:rsid w:val="001D2A51"/>
    <w:rPr>
      <w:rFonts w:ascii="Verdana" w:hAnsi="Verdana"/>
      <w:i/>
      <w:color w:val="FF0000"/>
      <w:sz w:val="18"/>
      <w:lang w:val="en-GB" w:eastAsia="en-US"/>
    </w:rPr>
  </w:style>
  <w:style w:type="character" w:customStyle="1" w:styleId="BalloonTextChar">
    <w:name w:val="Balloon Text Char"/>
    <w:basedOn w:val="DefaultParagraphFont"/>
    <w:link w:val="BalloonText"/>
    <w:uiPriority w:val="99"/>
    <w:semiHidden/>
    <w:rsid w:val="00750A84"/>
    <w:rPr>
      <w:rFonts w:ascii="Tahoma" w:hAnsi="Tahoma" w:cs="Tahoma"/>
      <w:sz w:val="16"/>
      <w:szCs w:val="16"/>
      <w:lang w:val="fr-FR" w:eastAsia="en-US"/>
    </w:rPr>
  </w:style>
  <w:style w:type="character" w:styleId="CommentReference">
    <w:name w:val="annotation reference"/>
    <w:basedOn w:val="DefaultParagraphFont"/>
    <w:uiPriority w:val="99"/>
    <w:unhideWhenUsed/>
    <w:rsid w:val="00750A84"/>
    <w:rPr>
      <w:sz w:val="16"/>
      <w:szCs w:val="16"/>
    </w:rPr>
  </w:style>
  <w:style w:type="character" w:customStyle="1" w:styleId="CommentTextChar">
    <w:name w:val="Comment Text Char"/>
    <w:basedOn w:val="DefaultParagraphFont"/>
    <w:uiPriority w:val="99"/>
    <w:rsid w:val="00750A84"/>
    <w:rPr>
      <w:rFonts w:ascii="Times New Roman" w:hAnsi="Times New Roman" w:cs="Times New Roman"/>
      <w:sz w:val="20"/>
      <w:szCs w:val="20"/>
      <w:lang w:val="en-GB"/>
    </w:rPr>
  </w:style>
  <w:style w:type="character" w:customStyle="1" w:styleId="FootnoteTextChar">
    <w:name w:val="Footnote Text Char"/>
    <w:aliases w:val="Footnote text Char,Fußnote Char,Fu§notentext Char Char1,Fu§notentext Char1 Char1 Char,Fu§notentext Char Char Char Char Char,Fu§notentext Char1 Char Char Char Char,Fu§notentext Char Char Char,Footnote Text Char Char Char,o Char"/>
    <w:basedOn w:val="DefaultParagraphFont"/>
    <w:link w:val="FootnoteText"/>
    <w:uiPriority w:val="99"/>
    <w:qFormat/>
    <w:rsid w:val="00C20711"/>
    <w:rPr>
      <w:rFonts w:ascii="Verdana" w:hAnsi="Verdana"/>
      <w:sz w:val="17"/>
      <w:szCs w:val="17"/>
      <w:lang w:val="en-GB" w:eastAsia="en-US"/>
    </w:rPr>
  </w:style>
  <w:style w:type="paragraph" w:customStyle="1" w:styleId="NormalLeft">
    <w:name w:val="Normal Left"/>
    <w:basedOn w:val="Normal"/>
    <w:rsid w:val="00750A84"/>
    <w:pPr>
      <w:spacing w:before="120" w:after="120"/>
      <w:jc w:val="left"/>
    </w:pPr>
    <w:rPr>
      <w:rFonts w:eastAsiaTheme="minorHAnsi"/>
      <w:szCs w:val="22"/>
    </w:rPr>
  </w:style>
  <w:style w:type="paragraph" w:customStyle="1" w:styleId="Point0">
    <w:name w:val="Point 0"/>
    <w:basedOn w:val="Normal"/>
    <w:rsid w:val="00750A84"/>
    <w:pPr>
      <w:spacing w:before="120" w:after="120"/>
      <w:ind w:left="850" w:hanging="850"/>
    </w:pPr>
    <w:rPr>
      <w:rFonts w:eastAsiaTheme="minorHAnsi"/>
      <w:szCs w:val="22"/>
    </w:rPr>
  </w:style>
  <w:style w:type="paragraph" w:customStyle="1" w:styleId="Point1">
    <w:name w:val="Point 1"/>
    <w:basedOn w:val="Normal"/>
    <w:rsid w:val="00750A84"/>
    <w:pPr>
      <w:spacing w:before="120" w:after="120"/>
      <w:ind w:left="1417" w:hanging="567"/>
    </w:pPr>
    <w:rPr>
      <w:rFonts w:eastAsiaTheme="minorHAnsi"/>
      <w:szCs w:val="22"/>
    </w:rPr>
  </w:style>
  <w:style w:type="paragraph" w:customStyle="1" w:styleId="Point2">
    <w:name w:val="Point 2"/>
    <w:basedOn w:val="Normal"/>
    <w:rsid w:val="00750A84"/>
    <w:pPr>
      <w:spacing w:before="120" w:after="120"/>
      <w:ind w:left="1984" w:hanging="567"/>
    </w:pPr>
    <w:rPr>
      <w:rFonts w:eastAsiaTheme="minorHAnsi"/>
      <w:szCs w:val="22"/>
    </w:rPr>
  </w:style>
  <w:style w:type="paragraph" w:customStyle="1" w:styleId="ManualNumPar1">
    <w:name w:val="Manual NumPar 1"/>
    <w:basedOn w:val="Normal"/>
    <w:next w:val="Text1"/>
    <w:rsid w:val="00750A84"/>
    <w:pPr>
      <w:spacing w:before="120" w:after="120"/>
      <w:ind w:left="850" w:hanging="850"/>
    </w:pPr>
    <w:rPr>
      <w:rFonts w:eastAsiaTheme="minorHAnsi"/>
      <w:szCs w:val="22"/>
    </w:rPr>
  </w:style>
  <w:style w:type="paragraph" w:customStyle="1" w:styleId="Point0number">
    <w:name w:val="Point 0 (number)"/>
    <w:basedOn w:val="Normal"/>
    <w:rsid w:val="00750A84"/>
    <w:pPr>
      <w:numPr>
        <w:numId w:val="23"/>
      </w:numPr>
      <w:spacing w:before="120" w:after="120"/>
    </w:pPr>
    <w:rPr>
      <w:rFonts w:eastAsiaTheme="minorHAnsi"/>
      <w:szCs w:val="22"/>
    </w:rPr>
  </w:style>
  <w:style w:type="paragraph" w:customStyle="1" w:styleId="Point2number">
    <w:name w:val="Point 2 (number)"/>
    <w:basedOn w:val="Normal"/>
    <w:rsid w:val="00750A84"/>
    <w:pPr>
      <w:numPr>
        <w:ilvl w:val="4"/>
        <w:numId w:val="23"/>
      </w:numPr>
      <w:spacing w:before="120" w:after="120"/>
    </w:pPr>
    <w:rPr>
      <w:rFonts w:eastAsiaTheme="minorHAnsi"/>
      <w:szCs w:val="22"/>
    </w:rPr>
  </w:style>
  <w:style w:type="paragraph" w:customStyle="1" w:styleId="Point3number">
    <w:name w:val="Point 3 (number)"/>
    <w:basedOn w:val="Normal"/>
    <w:rsid w:val="00750A84"/>
    <w:pPr>
      <w:numPr>
        <w:ilvl w:val="6"/>
        <w:numId w:val="23"/>
      </w:numPr>
      <w:spacing w:before="120" w:after="120"/>
    </w:pPr>
    <w:rPr>
      <w:rFonts w:eastAsiaTheme="minorHAnsi"/>
      <w:szCs w:val="22"/>
    </w:rPr>
  </w:style>
  <w:style w:type="paragraph" w:customStyle="1" w:styleId="Point0letter">
    <w:name w:val="Point 0 (letter)"/>
    <w:basedOn w:val="Normal"/>
    <w:rsid w:val="00750A84"/>
    <w:pPr>
      <w:spacing w:before="120" w:after="120"/>
    </w:pPr>
    <w:rPr>
      <w:rFonts w:eastAsiaTheme="minorHAnsi"/>
      <w:szCs w:val="22"/>
    </w:rPr>
  </w:style>
  <w:style w:type="paragraph" w:customStyle="1" w:styleId="Point1letter">
    <w:name w:val="Point 1 (letter)"/>
    <w:basedOn w:val="Normal"/>
    <w:rsid w:val="00750A84"/>
    <w:pPr>
      <w:numPr>
        <w:ilvl w:val="3"/>
        <w:numId w:val="23"/>
      </w:numPr>
      <w:spacing w:before="120" w:after="120"/>
    </w:pPr>
    <w:rPr>
      <w:rFonts w:eastAsiaTheme="minorHAnsi"/>
      <w:szCs w:val="22"/>
    </w:rPr>
  </w:style>
  <w:style w:type="paragraph" w:customStyle="1" w:styleId="Point2letter">
    <w:name w:val="Point 2 (letter)"/>
    <w:basedOn w:val="Normal"/>
    <w:rsid w:val="00750A84"/>
    <w:pPr>
      <w:numPr>
        <w:ilvl w:val="5"/>
        <w:numId w:val="23"/>
      </w:numPr>
      <w:spacing w:before="120" w:after="120"/>
    </w:pPr>
    <w:rPr>
      <w:rFonts w:eastAsiaTheme="minorHAnsi"/>
      <w:szCs w:val="22"/>
    </w:rPr>
  </w:style>
  <w:style w:type="paragraph" w:customStyle="1" w:styleId="Point3letter">
    <w:name w:val="Point 3 (letter)"/>
    <w:basedOn w:val="Normal"/>
    <w:rsid w:val="00750A84"/>
    <w:pPr>
      <w:numPr>
        <w:ilvl w:val="7"/>
        <w:numId w:val="23"/>
      </w:numPr>
      <w:spacing w:before="120" w:after="120"/>
    </w:pPr>
    <w:rPr>
      <w:rFonts w:eastAsiaTheme="minorHAnsi"/>
      <w:szCs w:val="22"/>
    </w:rPr>
  </w:style>
  <w:style w:type="paragraph" w:customStyle="1" w:styleId="Point4letter">
    <w:name w:val="Point 4 (letter)"/>
    <w:basedOn w:val="Normal"/>
    <w:rsid w:val="00750A84"/>
    <w:pPr>
      <w:numPr>
        <w:ilvl w:val="8"/>
        <w:numId w:val="23"/>
      </w:numPr>
      <w:spacing w:before="120" w:after="120"/>
    </w:pPr>
    <w:rPr>
      <w:rFonts w:eastAsiaTheme="minorHAnsi"/>
      <w:szCs w:val="22"/>
    </w:rPr>
  </w:style>
  <w:style w:type="paragraph" w:customStyle="1" w:styleId="Applicationdirecte">
    <w:name w:val="Application directe"/>
    <w:basedOn w:val="Normal"/>
    <w:next w:val="Fait"/>
    <w:rsid w:val="00750A84"/>
    <w:pPr>
      <w:spacing w:before="480" w:after="120"/>
    </w:pPr>
    <w:rPr>
      <w:rFonts w:eastAsiaTheme="minorHAnsi"/>
      <w:szCs w:val="22"/>
    </w:rPr>
  </w:style>
  <w:style w:type="paragraph" w:customStyle="1" w:styleId="Datedadoption">
    <w:name w:val="Date d'adoption"/>
    <w:basedOn w:val="Normal"/>
    <w:next w:val="Titreobjet"/>
    <w:rsid w:val="00750A84"/>
    <w:pPr>
      <w:spacing w:before="360" w:after="0"/>
      <w:jc w:val="center"/>
    </w:pPr>
    <w:rPr>
      <w:rFonts w:eastAsiaTheme="minorHAnsi"/>
      <w:b/>
      <w:szCs w:val="22"/>
    </w:rPr>
  </w:style>
  <w:style w:type="paragraph" w:customStyle="1" w:styleId="Fait">
    <w:name w:val="Fait à"/>
    <w:basedOn w:val="Normal"/>
    <w:next w:val="Institutionquisigne"/>
    <w:rsid w:val="00750A84"/>
    <w:pPr>
      <w:keepNext/>
      <w:spacing w:before="120" w:after="0"/>
    </w:pPr>
    <w:rPr>
      <w:rFonts w:eastAsiaTheme="minorHAnsi"/>
      <w:szCs w:val="22"/>
    </w:rPr>
  </w:style>
  <w:style w:type="paragraph" w:customStyle="1" w:styleId="Formuledadoption">
    <w:name w:val="Formule d'adoption"/>
    <w:basedOn w:val="Normal"/>
    <w:next w:val="Titrearticle"/>
    <w:rsid w:val="00750A84"/>
    <w:pPr>
      <w:keepNext/>
      <w:spacing w:before="120" w:after="120"/>
    </w:pPr>
    <w:rPr>
      <w:rFonts w:eastAsiaTheme="minorHAnsi"/>
      <w:szCs w:val="22"/>
    </w:rPr>
  </w:style>
  <w:style w:type="paragraph" w:customStyle="1" w:styleId="Institutionquiagit">
    <w:name w:val="Institution qui agit"/>
    <w:basedOn w:val="Normal"/>
    <w:next w:val="Normal"/>
    <w:rsid w:val="00750A84"/>
    <w:pPr>
      <w:keepNext/>
      <w:spacing w:before="600" w:after="120"/>
    </w:pPr>
    <w:rPr>
      <w:rFonts w:eastAsiaTheme="minorHAnsi"/>
      <w:szCs w:val="22"/>
    </w:rPr>
  </w:style>
  <w:style w:type="paragraph" w:customStyle="1" w:styleId="Institutionquisigne">
    <w:name w:val="Institution qui signe"/>
    <w:basedOn w:val="Normal"/>
    <w:next w:val="Personnequisigne"/>
    <w:rsid w:val="00750A84"/>
    <w:pPr>
      <w:keepNext/>
      <w:tabs>
        <w:tab w:val="left" w:pos="4252"/>
      </w:tabs>
      <w:spacing w:before="720" w:after="0"/>
    </w:pPr>
    <w:rPr>
      <w:rFonts w:eastAsiaTheme="minorHAnsi"/>
      <w:i/>
      <w:szCs w:val="22"/>
    </w:rPr>
  </w:style>
  <w:style w:type="paragraph" w:customStyle="1" w:styleId="ManualConsidrant">
    <w:name w:val="Manual Considérant"/>
    <w:basedOn w:val="Normal"/>
    <w:rsid w:val="00750A84"/>
    <w:pPr>
      <w:spacing w:before="120" w:after="120"/>
      <w:ind w:left="709" w:hanging="709"/>
    </w:pPr>
    <w:rPr>
      <w:rFonts w:eastAsiaTheme="minorHAnsi"/>
      <w:szCs w:val="22"/>
    </w:rPr>
  </w:style>
  <w:style w:type="paragraph" w:customStyle="1" w:styleId="Personnequisigne">
    <w:name w:val="Personne qui signe"/>
    <w:basedOn w:val="Normal"/>
    <w:next w:val="Institutionquisigne"/>
    <w:rsid w:val="00750A84"/>
    <w:pPr>
      <w:tabs>
        <w:tab w:val="left" w:pos="4252"/>
      </w:tabs>
      <w:spacing w:after="0"/>
      <w:jc w:val="left"/>
    </w:pPr>
    <w:rPr>
      <w:rFonts w:eastAsiaTheme="minorHAnsi"/>
      <w:i/>
      <w:szCs w:val="22"/>
    </w:rPr>
  </w:style>
  <w:style w:type="paragraph" w:customStyle="1" w:styleId="Titrearticle">
    <w:name w:val="Titre article"/>
    <w:basedOn w:val="Normal"/>
    <w:next w:val="Normal"/>
    <w:rsid w:val="00750A84"/>
    <w:pPr>
      <w:keepNext/>
      <w:spacing w:before="360" w:after="120"/>
      <w:jc w:val="center"/>
    </w:pPr>
    <w:rPr>
      <w:rFonts w:eastAsiaTheme="minorHAnsi"/>
      <w:i/>
      <w:szCs w:val="22"/>
    </w:rPr>
  </w:style>
  <w:style w:type="paragraph" w:customStyle="1" w:styleId="Titreobjet">
    <w:name w:val="Titre objet"/>
    <w:basedOn w:val="Normal"/>
    <w:next w:val="IntrtEEE"/>
    <w:rsid w:val="00750A84"/>
    <w:pPr>
      <w:spacing w:before="360" w:after="360"/>
      <w:jc w:val="center"/>
    </w:pPr>
    <w:rPr>
      <w:rFonts w:eastAsiaTheme="minorHAnsi"/>
      <w:b/>
      <w:szCs w:val="22"/>
    </w:rPr>
  </w:style>
  <w:style w:type="paragraph" w:customStyle="1" w:styleId="Typedudocument">
    <w:name w:val="Type du document"/>
    <w:basedOn w:val="Normal"/>
    <w:next w:val="Titreobjet"/>
    <w:rsid w:val="00750A84"/>
    <w:pPr>
      <w:spacing w:before="360" w:after="0"/>
      <w:jc w:val="center"/>
    </w:pPr>
    <w:rPr>
      <w:rFonts w:eastAsiaTheme="minorHAnsi"/>
      <w:b/>
      <w:szCs w:val="22"/>
    </w:rPr>
  </w:style>
  <w:style w:type="paragraph" w:customStyle="1" w:styleId="IntrtEEE">
    <w:name w:val="Intérêt EEE"/>
    <w:basedOn w:val="Normal"/>
    <w:next w:val="Normal"/>
    <w:rsid w:val="00750A84"/>
    <w:pPr>
      <w:spacing w:before="360"/>
      <w:jc w:val="center"/>
    </w:pPr>
    <w:rPr>
      <w:rFonts w:eastAsiaTheme="minorHAnsi"/>
      <w:szCs w:val="22"/>
    </w:rPr>
  </w:style>
  <w:style w:type="paragraph" w:styleId="CommentSubject">
    <w:name w:val="annotation subject"/>
    <w:basedOn w:val="CommentText"/>
    <w:next w:val="CommentText"/>
    <w:link w:val="CommentSubjectChar"/>
    <w:uiPriority w:val="99"/>
    <w:semiHidden/>
    <w:unhideWhenUsed/>
    <w:rsid w:val="00750A84"/>
    <w:pPr>
      <w:spacing w:after="160"/>
      <w:jc w:val="left"/>
    </w:pPr>
    <w:rPr>
      <w:rFonts w:asciiTheme="minorHAnsi" w:eastAsiaTheme="minorHAnsi" w:hAnsiTheme="minorHAnsi" w:cstheme="minorBidi"/>
      <w:b/>
      <w:bCs/>
    </w:rPr>
  </w:style>
  <w:style w:type="character" w:customStyle="1" w:styleId="CommentTextChar1">
    <w:name w:val="Comment Text Char1"/>
    <w:basedOn w:val="DefaultParagraphFont"/>
    <w:link w:val="CommentText"/>
    <w:uiPriority w:val="99"/>
    <w:rsid w:val="00750A84"/>
    <w:rPr>
      <w:lang w:val="fr-FR" w:eastAsia="en-US"/>
    </w:rPr>
  </w:style>
  <w:style w:type="character" w:customStyle="1" w:styleId="CommentSubjectChar">
    <w:name w:val="Comment Subject Char"/>
    <w:basedOn w:val="CommentTextChar1"/>
    <w:link w:val="CommentSubject"/>
    <w:uiPriority w:val="99"/>
    <w:semiHidden/>
    <w:rsid w:val="00750A84"/>
    <w:rPr>
      <w:rFonts w:asciiTheme="minorHAnsi" w:eastAsiaTheme="minorHAnsi" w:hAnsiTheme="minorHAnsi" w:cstheme="minorBidi"/>
      <w:b/>
      <w:bCs/>
      <w:lang w:val="fr-FR" w:eastAsia="en-US"/>
    </w:rPr>
  </w:style>
  <w:style w:type="paragraph" w:customStyle="1" w:styleId="SUPERSCar">
    <w:name w:val="SUPERS Car"/>
    <w:aliases w:val="Footnote number Car,de nota al pie Car,Ref Car,Footnote symbol Car,Char Car,Voetnootmarkering Car,Char1 Car,Nota Car,fr Car,o Car,(NECG) Footnote Reference Car, Char Car, Char1 Car"/>
    <w:basedOn w:val="Normal"/>
    <w:link w:val="FootnoteReference"/>
    <w:uiPriority w:val="99"/>
    <w:rsid w:val="00C20711"/>
    <w:pPr>
      <w:spacing w:after="160" w:line="240" w:lineRule="exact"/>
    </w:pPr>
    <w:rPr>
      <w:sz w:val="20"/>
      <w:vertAlign w:val="superscript"/>
      <w:lang w:val="nl-BE" w:eastAsia="nl-BE"/>
    </w:rPr>
  </w:style>
  <w:style w:type="character" w:styleId="Strong">
    <w:name w:val="Strong"/>
    <w:uiPriority w:val="22"/>
    <w:qFormat/>
    <w:rsid w:val="00750A84"/>
  </w:style>
  <w:style w:type="paragraph" w:customStyle="1" w:styleId="Tiret0">
    <w:name w:val="Tiret 0"/>
    <w:basedOn w:val="Point0"/>
    <w:rsid w:val="00750A84"/>
    <w:pPr>
      <w:numPr>
        <w:numId w:val="24"/>
      </w:numPr>
    </w:pPr>
    <w:rPr>
      <w:rFonts w:eastAsia="Times New Roman"/>
      <w:lang w:eastAsia="en-GB"/>
    </w:rPr>
  </w:style>
  <w:style w:type="paragraph" w:customStyle="1" w:styleId="Annexetitre">
    <w:name w:val="Annexe titre"/>
    <w:basedOn w:val="Normal"/>
    <w:next w:val="Normal"/>
    <w:rsid w:val="00750A84"/>
    <w:pPr>
      <w:spacing w:before="120" w:after="120"/>
      <w:jc w:val="center"/>
    </w:pPr>
    <w:rPr>
      <w:b/>
      <w:szCs w:val="22"/>
      <w:u w:val="single"/>
      <w:lang w:eastAsia="en-GB"/>
    </w:rPr>
  </w:style>
  <w:style w:type="paragraph" w:styleId="ListParagraph">
    <w:name w:val="List Paragraph"/>
    <w:basedOn w:val="Normal"/>
    <w:link w:val="ListParagraphChar"/>
    <w:uiPriority w:val="34"/>
    <w:qFormat/>
    <w:rsid w:val="00750A84"/>
    <w:pPr>
      <w:spacing w:after="160" w:line="259" w:lineRule="auto"/>
      <w:ind w:left="720"/>
      <w:contextualSpacing/>
      <w:jc w:val="left"/>
    </w:pPr>
    <w:rPr>
      <w:rFonts w:asciiTheme="minorHAnsi" w:eastAsiaTheme="minorHAnsi" w:hAnsiTheme="minorHAnsi" w:cstheme="minorBidi"/>
      <w:sz w:val="22"/>
      <w:szCs w:val="22"/>
    </w:rPr>
  </w:style>
  <w:style w:type="paragraph" w:styleId="NoSpacing">
    <w:name w:val="No Spacing"/>
    <w:uiPriority w:val="1"/>
    <w:qFormat/>
    <w:rsid w:val="00750A84"/>
    <w:rPr>
      <w:rFonts w:asciiTheme="minorHAnsi" w:eastAsiaTheme="minorHAnsi" w:hAnsiTheme="minorHAnsi" w:cstheme="minorBidi"/>
      <w:sz w:val="22"/>
      <w:szCs w:val="22"/>
      <w:lang w:eastAsia="en-US"/>
    </w:rPr>
  </w:style>
  <w:style w:type="paragraph" w:customStyle="1" w:styleId="Point1number">
    <w:name w:val="Point 1 (number)"/>
    <w:basedOn w:val="Normal"/>
    <w:rsid w:val="00750A84"/>
    <w:pPr>
      <w:tabs>
        <w:tab w:val="num" w:pos="1417"/>
      </w:tabs>
      <w:spacing w:before="120" w:after="120"/>
      <w:ind w:left="1417" w:hanging="567"/>
    </w:pPr>
    <w:rPr>
      <w:szCs w:val="22"/>
      <w:lang w:eastAsia="en-GB"/>
    </w:rPr>
  </w:style>
  <w:style w:type="paragraph" w:customStyle="1" w:styleId="Tiret1">
    <w:name w:val="Tiret 1"/>
    <w:basedOn w:val="Point1"/>
    <w:rsid w:val="00750A84"/>
    <w:pPr>
      <w:numPr>
        <w:numId w:val="26"/>
      </w:numPr>
    </w:pPr>
    <w:rPr>
      <w:rFonts w:eastAsia="Times New Roman"/>
      <w:lang w:eastAsia="en-GB"/>
    </w:rPr>
  </w:style>
  <w:style w:type="character" w:customStyle="1" w:styleId="ListParagraphChar">
    <w:name w:val="List Paragraph Char"/>
    <w:basedOn w:val="DefaultParagraphFont"/>
    <w:link w:val="ListParagraph"/>
    <w:uiPriority w:val="34"/>
    <w:qFormat/>
    <w:locked/>
    <w:rsid w:val="00750A84"/>
    <w:rPr>
      <w:rFonts w:asciiTheme="minorHAnsi" w:eastAsiaTheme="minorHAnsi" w:hAnsiTheme="minorHAnsi" w:cstheme="minorBidi"/>
      <w:sz w:val="22"/>
      <w:szCs w:val="22"/>
      <w:lang w:eastAsia="en-US"/>
    </w:rPr>
  </w:style>
  <w:style w:type="character" w:customStyle="1" w:styleId="citetfn">
    <w:name w:val="cite_tfn"/>
    <w:rsid w:val="00750A84"/>
    <w:rPr>
      <w:rFonts w:ascii="Cambria" w:hAnsi="Cambria"/>
      <w:bdr w:val="none" w:sz="0" w:space="0" w:color="auto"/>
      <w:shd w:val="clear" w:color="auto" w:fill="FBBA79"/>
    </w:rPr>
  </w:style>
  <w:style w:type="paragraph" w:customStyle="1" w:styleId="a2">
    <w:name w:val="a2"/>
    <w:basedOn w:val="Normal"/>
    <w:next w:val="Normal"/>
    <w:rsid w:val="00750A84"/>
    <w:pPr>
      <w:keepNext/>
      <w:numPr>
        <w:ilvl w:val="1"/>
        <w:numId w:val="27"/>
      </w:numPr>
      <w:tabs>
        <w:tab w:val="left" w:pos="500"/>
        <w:tab w:val="left" w:pos="720"/>
      </w:tabs>
      <w:spacing w:before="270" w:line="270" w:lineRule="exact"/>
      <w:jc w:val="left"/>
      <w:outlineLvl w:val="0"/>
    </w:pPr>
    <w:rPr>
      <w:rFonts w:ascii="Cambria" w:eastAsia="Calibri" w:hAnsi="Cambria"/>
      <w:b/>
      <w:sz w:val="26"/>
      <w:szCs w:val="22"/>
    </w:rPr>
  </w:style>
  <w:style w:type="paragraph" w:customStyle="1" w:styleId="a3">
    <w:name w:val="a3"/>
    <w:basedOn w:val="Normal"/>
    <w:next w:val="Normal"/>
    <w:rsid w:val="00750A84"/>
    <w:pPr>
      <w:keepNext/>
      <w:numPr>
        <w:ilvl w:val="2"/>
        <w:numId w:val="27"/>
      </w:numPr>
      <w:tabs>
        <w:tab w:val="left" w:pos="640"/>
      </w:tabs>
      <w:spacing w:line="250" w:lineRule="exact"/>
      <w:jc w:val="left"/>
      <w:outlineLvl w:val="0"/>
    </w:pPr>
    <w:rPr>
      <w:rFonts w:ascii="Cambria" w:eastAsia="Calibri" w:hAnsi="Cambria"/>
      <w:b/>
      <w:szCs w:val="22"/>
    </w:rPr>
  </w:style>
  <w:style w:type="paragraph" w:customStyle="1" w:styleId="a4">
    <w:name w:val="a4"/>
    <w:basedOn w:val="Normal"/>
    <w:next w:val="Normal"/>
    <w:rsid w:val="00750A84"/>
    <w:pPr>
      <w:keepNext/>
      <w:numPr>
        <w:ilvl w:val="3"/>
        <w:numId w:val="27"/>
      </w:numPr>
      <w:tabs>
        <w:tab w:val="left" w:pos="880"/>
      </w:tabs>
      <w:spacing w:line="240" w:lineRule="atLeast"/>
      <w:jc w:val="left"/>
      <w:outlineLvl w:val="0"/>
    </w:pPr>
    <w:rPr>
      <w:rFonts w:ascii="Cambria" w:eastAsia="Calibri" w:hAnsi="Cambria"/>
      <w:b/>
      <w:bCs/>
      <w:iCs/>
      <w:sz w:val="22"/>
      <w:szCs w:val="22"/>
    </w:rPr>
  </w:style>
  <w:style w:type="paragraph" w:customStyle="1" w:styleId="a5">
    <w:name w:val="a5"/>
    <w:basedOn w:val="Normal"/>
    <w:next w:val="Normal"/>
    <w:rsid w:val="00750A84"/>
    <w:pPr>
      <w:keepNext/>
      <w:numPr>
        <w:ilvl w:val="4"/>
        <w:numId w:val="27"/>
      </w:numPr>
      <w:tabs>
        <w:tab w:val="left" w:pos="1140"/>
        <w:tab w:val="left" w:pos="1360"/>
      </w:tabs>
      <w:spacing w:line="240" w:lineRule="atLeast"/>
      <w:jc w:val="left"/>
      <w:outlineLvl w:val="0"/>
    </w:pPr>
    <w:rPr>
      <w:rFonts w:ascii="Cambria" w:eastAsia="Calibri" w:hAnsi="Cambria"/>
      <w:b/>
      <w:bCs/>
      <w:iCs/>
      <w:sz w:val="22"/>
      <w:szCs w:val="22"/>
    </w:rPr>
  </w:style>
  <w:style w:type="paragraph" w:customStyle="1" w:styleId="a6">
    <w:name w:val="a6"/>
    <w:basedOn w:val="Normal"/>
    <w:next w:val="Normal"/>
    <w:rsid w:val="00750A84"/>
    <w:pPr>
      <w:keepNext/>
      <w:numPr>
        <w:ilvl w:val="5"/>
        <w:numId w:val="27"/>
      </w:numPr>
      <w:tabs>
        <w:tab w:val="left" w:pos="1140"/>
        <w:tab w:val="left" w:pos="1360"/>
      </w:tabs>
      <w:spacing w:line="240" w:lineRule="atLeast"/>
      <w:jc w:val="left"/>
      <w:outlineLvl w:val="0"/>
    </w:pPr>
    <w:rPr>
      <w:rFonts w:ascii="Cambria" w:eastAsia="Calibri" w:hAnsi="Cambria"/>
      <w:b/>
      <w:bCs/>
      <w:sz w:val="22"/>
      <w:szCs w:val="22"/>
    </w:rPr>
  </w:style>
  <w:style w:type="paragraph" w:customStyle="1" w:styleId="ANNEX">
    <w:name w:val="ANNEX"/>
    <w:basedOn w:val="Normal"/>
    <w:next w:val="Normal"/>
    <w:rsid w:val="00750A84"/>
    <w:pPr>
      <w:keepNext/>
      <w:pageBreakBefore/>
      <w:numPr>
        <w:numId w:val="27"/>
      </w:numPr>
      <w:spacing w:after="760" w:line="310" w:lineRule="exact"/>
      <w:jc w:val="center"/>
      <w:outlineLvl w:val="0"/>
    </w:pPr>
    <w:rPr>
      <w:rFonts w:ascii="Cambria" w:eastAsia="MS Mincho" w:hAnsi="Cambria"/>
      <w:b/>
      <w:sz w:val="28"/>
      <w:lang w:eastAsia="ja-JP"/>
    </w:rPr>
  </w:style>
  <w:style w:type="paragraph" w:customStyle="1" w:styleId="Tablefooter">
    <w:name w:val="Table footer"/>
    <w:basedOn w:val="Normal"/>
    <w:rsid w:val="00750A84"/>
    <w:pPr>
      <w:tabs>
        <w:tab w:val="left" w:pos="346"/>
      </w:tabs>
      <w:spacing w:before="60" w:after="60" w:line="200" w:lineRule="atLeast"/>
    </w:pPr>
    <w:rPr>
      <w:rFonts w:ascii="Cambria" w:eastAsia="Calibri" w:hAnsi="Cambria"/>
      <w:sz w:val="20"/>
      <w:szCs w:val="22"/>
    </w:rPr>
  </w:style>
  <w:style w:type="paragraph" w:customStyle="1" w:styleId="Default">
    <w:name w:val="Default"/>
    <w:rsid w:val="00D34ECC"/>
    <w:pPr>
      <w:autoSpaceDE w:val="0"/>
      <w:autoSpaceDN w:val="0"/>
      <w:adjustRightInd w:val="0"/>
    </w:pPr>
    <w:rPr>
      <w:rFonts w:ascii="Calibri" w:hAnsi="Calibri" w:cs="Calibri"/>
      <w:color w:val="000000"/>
      <w:sz w:val="24"/>
      <w:szCs w:val="24"/>
    </w:rPr>
  </w:style>
  <w:style w:type="paragraph" w:customStyle="1" w:styleId="TabellentextlinksbndigI">
    <w:name w:val="Tabellentext linksbündig_ÖI"/>
    <w:basedOn w:val="Normal"/>
    <w:uiPriority w:val="6"/>
    <w:qFormat/>
    <w:rsid w:val="00772E27"/>
    <w:pPr>
      <w:spacing w:before="60" w:after="60" w:line="260" w:lineRule="atLeast"/>
      <w:ind w:right="113"/>
      <w:jc w:val="left"/>
    </w:pPr>
    <w:rPr>
      <w:rFonts w:ascii="Arial" w:eastAsiaTheme="minorHAnsi" w:hAnsi="Arial" w:cstheme="minorBidi"/>
      <w:sz w:val="20"/>
      <w:szCs w:val="22"/>
      <w:lang w:val="de-DE"/>
    </w:rPr>
  </w:style>
  <w:style w:type="paragraph" w:customStyle="1" w:styleId="Tiret3">
    <w:name w:val="Tiret 3"/>
    <w:basedOn w:val="Normal"/>
    <w:rsid w:val="00962FA9"/>
    <w:pPr>
      <w:numPr>
        <w:numId w:val="28"/>
      </w:numPr>
      <w:spacing w:before="120" w:after="120"/>
    </w:pPr>
    <w:rPr>
      <w:rFonts w:eastAsiaTheme="minorHAnsi"/>
      <w:szCs w:val="22"/>
    </w:rPr>
  </w:style>
  <w:style w:type="paragraph" w:customStyle="1" w:styleId="Bullet4">
    <w:name w:val="Bullet 4"/>
    <w:basedOn w:val="Normal"/>
    <w:rsid w:val="00962FA9"/>
    <w:pPr>
      <w:numPr>
        <w:numId w:val="29"/>
      </w:numPr>
      <w:spacing w:before="120" w:after="120"/>
    </w:pPr>
    <w:rPr>
      <w:rFonts w:eastAsiaTheme="minorHAnsi"/>
      <w:szCs w:val="22"/>
    </w:rPr>
  </w:style>
  <w:style w:type="paragraph" w:customStyle="1" w:styleId="TableTitle">
    <w:name w:val="Table Title"/>
    <w:basedOn w:val="Normal"/>
    <w:next w:val="Normal"/>
    <w:rsid w:val="00722187"/>
    <w:pPr>
      <w:spacing w:before="120" w:after="120"/>
      <w:jc w:val="center"/>
    </w:pPr>
    <w:rPr>
      <w:rFonts w:eastAsiaTheme="minorHAnsi"/>
      <w:b/>
      <w:szCs w:val="22"/>
    </w:rPr>
  </w:style>
  <w:style w:type="paragraph" w:customStyle="1" w:styleId="ManualHeading1">
    <w:name w:val="Manual Heading 1"/>
    <w:basedOn w:val="Normal"/>
    <w:next w:val="Normal"/>
    <w:rsid w:val="0077107D"/>
    <w:pPr>
      <w:keepNext/>
      <w:tabs>
        <w:tab w:val="left" w:pos="850"/>
      </w:tabs>
      <w:spacing w:before="360" w:after="120"/>
      <w:ind w:left="850" w:hanging="850"/>
      <w:outlineLvl w:val="0"/>
    </w:pPr>
    <w:rPr>
      <w:b/>
      <w:smallCaps/>
      <w:szCs w:val="22"/>
      <w:lang w:eastAsia="en-GB"/>
    </w:rPr>
  </w:style>
  <w:style w:type="paragraph" w:customStyle="1" w:styleId="Pagedecouverture">
    <w:name w:val="Page de couverture"/>
    <w:basedOn w:val="Normal"/>
    <w:next w:val="Normal"/>
    <w:rsid w:val="0077107D"/>
    <w:pPr>
      <w:spacing w:after="0"/>
    </w:pPr>
    <w:rPr>
      <w:szCs w:val="22"/>
      <w:lang w:eastAsia="en-GB"/>
    </w:rPr>
  </w:style>
  <w:style w:type="paragraph" w:styleId="NormalWeb">
    <w:name w:val="Normal (Web)"/>
    <w:basedOn w:val="Normal"/>
    <w:uiPriority w:val="99"/>
    <w:unhideWhenUsed/>
    <w:rsid w:val="0077107D"/>
    <w:pPr>
      <w:spacing w:before="100" w:beforeAutospacing="1" w:after="100" w:afterAutospacing="1"/>
      <w:jc w:val="left"/>
    </w:pPr>
    <w:rPr>
      <w:rFonts w:eastAsiaTheme="minorEastAsia"/>
      <w:szCs w:val="24"/>
      <w:lang w:val="fr-BE" w:eastAsia="fr-BE"/>
    </w:rPr>
  </w:style>
  <w:style w:type="character" w:customStyle="1" w:styleId="UnresolvedMention">
    <w:name w:val="Unresolved Mention"/>
    <w:basedOn w:val="DefaultParagraphFont"/>
    <w:uiPriority w:val="99"/>
    <w:semiHidden/>
    <w:unhideWhenUsed/>
    <w:rsid w:val="0077107D"/>
    <w:rPr>
      <w:color w:val="605E5C"/>
      <w:shd w:val="clear" w:color="auto" w:fill="E1DFDD"/>
    </w:rPr>
  </w:style>
  <w:style w:type="character" w:styleId="Emphasis">
    <w:name w:val="Emphasis"/>
    <w:basedOn w:val="DefaultParagraphFont"/>
    <w:uiPriority w:val="20"/>
    <w:qFormat/>
    <w:rsid w:val="0077107D"/>
    <w:rPr>
      <w:i/>
      <w:iCs/>
    </w:rPr>
  </w:style>
  <w:style w:type="table" w:styleId="TableGrid1">
    <w:name w:val="Table Grid 1"/>
    <w:basedOn w:val="TableNormal"/>
    <w:rsid w:val="00FF3B4F"/>
    <w:pPr>
      <w:spacing w:after="24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FollowedHyperlink">
    <w:name w:val="FollowedHyperlink"/>
    <w:basedOn w:val="DefaultParagraphFont"/>
    <w:semiHidden/>
    <w:unhideWhenUsed/>
    <w:rsid w:val="000F1A0A"/>
    <w:rPr>
      <w:color w:val="800080" w:themeColor="followedHyperlink"/>
      <w:u w:val="single"/>
    </w:rPr>
  </w:style>
  <w:style w:type="paragraph" w:styleId="Revision">
    <w:name w:val="Revision"/>
    <w:hidden/>
    <w:uiPriority w:val="99"/>
    <w:semiHidden/>
    <w:rsid w:val="00E93829"/>
    <w:rPr>
      <w:sz w:val="24"/>
      <w:lang w:val="en-GB" w:eastAsia="en-US"/>
    </w:rPr>
  </w:style>
  <w:style w:type="character" w:customStyle="1" w:styleId="CaptionChar">
    <w:name w:val="Caption Char"/>
    <w:aliases w:val="Char Char"/>
    <w:link w:val="Caption"/>
    <w:locked/>
    <w:rsid w:val="008B2814"/>
    <w:rPr>
      <w:b/>
      <w:sz w:val="24"/>
      <w:lang w:val="en-GB" w:eastAsia="en-US"/>
    </w:rPr>
  </w:style>
  <w:style w:type="character" w:customStyle="1" w:styleId="normaltekst">
    <w:name w:val="normaltekst"/>
    <w:basedOn w:val="DefaultParagraphFont"/>
    <w:rsid w:val="00D916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524701">
      <w:bodyDiv w:val="1"/>
      <w:marLeft w:val="0"/>
      <w:marRight w:val="0"/>
      <w:marTop w:val="0"/>
      <w:marBottom w:val="0"/>
      <w:divBdr>
        <w:top w:val="none" w:sz="0" w:space="0" w:color="auto"/>
        <w:left w:val="none" w:sz="0" w:space="0" w:color="auto"/>
        <w:bottom w:val="none" w:sz="0" w:space="0" w:color="auto"/>
        <w:right w:val="none" w:sz="0" w:space="0" w:color="auto"/>
      </w:divBdr>
    </w:div>
    <w:div w:id="238952470">
      <w:bodyDiv w:val="1"/>
      <w:marLeft w:val="0"/>
      <w:marRight w:val="0"/>
      <w:marTop w:val="0"/>
      <w:marBottom w:val="0"/>
      <w:divBdr>
        <w:top w:val="none" w:sz="0" w:space="0" w:color="auto"/>
        <w:left w:val="none" w:sz="0" w:space="0" w:color="auto"/>
        <w:bottom w:val="none" w:sz="0" w:space="0" w:color="auto"/>
        <w:right w:val="none" w:sz="0" w:space="0" w:color="auto"/>
      </w:divBdr>
    </w:div>
    <w:div w:id="271481435">
      <w:bodyDiv w:val="1"/>
      <w:marLeft w:val="0"/>
      <w:marRight w:val="0"/>
      <w:marTop w:val="0"/>
      <w:marBottom w:val="0"/>
      <w:divBdr>
        <w:top w:val="none" w:sz="0" w:space="0" w:color="auto"/>
        <w:left w:val="none" w:sz="0" w:space="0" w:color="auto"/>
        <w:bottom w:val="none" w:sz="0" w:space="0" w:color="auto"/>
        <w:right w:val="none" w:sz="0" w:space="0" w:color="auto"/>
      </w:divBdr>
    </w:div>
    <w:div w:id="293951625">
      <w:bodyDiv w:val="1"/>
      <w:marLeft w:val="0"/>
      <w:marRight w:val="0"/>
      <w:marTop w:val="0"/>
      <w:marBottom w:val="0"/>
      <w:divBdr>
        <w:top w:val="none" w:sz="0" w:space="0" w:color="auto"/>
        <w:left w:val="none" w:sz="0" w:space="0" w:color="auto"/>
        <w:bottom w:val="none" w:sz="0" w:space="0" w:color="auto"/>
        <w:right w:val="none" w:sz="0" w:space="0" w:color="auto"/>
      </w:divBdr>
    </w:div>
    <w:div w:id="416750973">
      <w:bodyDiv w:val="1"/>
      <w:marLeft w:val="0"/>
      <w:marRight w:val="0"/>
      <w:marTop w:val="0"/>
      <w:marBottom w:val="0"/>
      <w:divBdr>
        <w:top w:val="none" w:sz="0" w:space="0" w:color="auto"/>
        <w:left w:val="none" w:sz="0" w:space="0" w:color="auto"/>
        <w:bottom w:val="none" w:sz="0" w:space="0" w:color="auto"/>
        <w:right w:val="none" w:sz="0" w:space="0" w:color="auto"/>
      </w:divBdr>
    </w:div>
    <w:div w:id="576788740">
      <w:bodyDiv w:val="1"/>
      <w:marLeft w:val="0"/>
      <w:marRight w:val="0"/>
      <w:marTop w:val="0"/>
      <w:marBottom w:val="0"/>
      <w:divBdr>
        <w:top w:val="none" w:sz="0" w:space="0" w:color="auto"/>
        <w:left w:val="none" w:sz="0" w:space="0" w:color="auto"/>
        <w:bottom w:val="none" w:sz="0" w:space="0" w:color="auto"/>
        <w:right w:val="none" w:sz="0" w:space="0" w:color="auto"/>
      </w:divBdr>
    </w:div>
    <w:div w:id="1023284582">
      <w:bodyDiv w:val="1"/>
      <w:marLeft w:val="0"/>
      <w:marRight w:val="0"/>
      <w:marTop w:val="0"/>
      <w:marBottom w:val="0"/>
      <w:divBdr>
        <w:top w:val="none" w:sz="0" w:space="0" w:color="auto"/>
        <w:left w:val="none" w:sz="0" w:space="0" w:color="auto"/>
        <w:bottom w:val="none" w:sz="0" w:space="0" w:color="auto"/>
        <w:right w:val="none" w:sz="0" w:space="0" w:color="auto"/>
      </w:divBdr>
    </w:div>
    <w:div w:id="1459102382">
      <w:bodyDiv w:val="1"/>
      <w:marLeft w:val="0"/>
      <w:marRight w:val="0"/>
      <w:marTop w:val="0"/>
      <w:marBottom w:val="0"/>
      <w:divBdr>
        <w:top w:val="none" w:sz="0" w:space="0" w:color="auto"/>
        <w:left w:val="none" w:sz="0" w:space="0" w:color="auto"/>
        <w:bottom w:val="none" w:sz="0" w:space="0" w:color="auto"/>
        <w:right w:val="none" w:sz="0" w:space="0" w:color="auto"/>
      </w:divBdr>
    </w:div>
    <w:div w:id="1472942174">
      <w:bodyDiv w:val="1"/>
      <w:marLeft w:val="0"/>
      <w:marRight w:val="0"/>
      <w:marTop w:val="0"/>
      <w:marBottom w:val="0"/>
      <w:divBdr>
        <w:top w:val="none" w:sz="0" w:space="0" w:color="auto"/>
        <w:left w:val="none" w:sz="0" w:space="0" w:color="auto"/>
        <w:bottom w:val="none" w:sz="0" w:space="0" w:color="auto"/>
        <w:right w:val="none" w:sz="0" w:space="0" w:color="auto"/>
      </w:divBdr>
    </w:div>
    <w:div w:id="1527908422">
      <w:bodyDiv w:val="1"/>
      <w:marLeft w:val="0"/>
      <w:marRight w:val="0"/>
      <w:marTop w:val="0"/>
      <w:marBottom w:val="0"/>
      <w:divBdr>
        <w:top w:val="none" w:sz="0" w:space="0" w:color="auto"/>
        <w:left w:val="none" w:sz="0" w:space="0" w:color="auto"/>
        <w:bottom w:val="none" w:sz="0" w:space="0" w:color="auto"/>
        <w:right w:val="none" w:sz="0" w:space="0" w:color="auto"/>
      </w:divBdr>
    </w:div>
    <w:div w:id="1573396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ec.europa.eu/info/law/better-regulation/have-your-say/initiatives/12850-Energy-efficiency-review-of-ecodesign-requirements-for-professional-refrigeration-products_en" TargetMode="External"/><Relationship Id="rId25" Type="http://schemas.openxmlformats.org/officeDocument/2006/relationships/image" Target="media/image11.svg"/><Relationship Id="rId2" Type="http://schemas.openxmlformats.org/officeDocument/2006/relationships/customXml" Target="../customXml/item2.xml"/><Relationship Id="rId16" Type="http://schemas.openxmlformats.org/officeDocument/2006/relationships/hyperlink" Target="file:///C:\Users\Rene2018\AppData\Local\Microsoft\Windows\INetCache\Content.Outlook\SNQBQEN9\www.ecoprorefrigeration.eu"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3.svg"/><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emf"/><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energy.ec.europa.eu/ecodesign-and-energy-labelling-working-plan-2022-2024_en" TargetMode="External"/><Relationship Id="rId13" Type="http://schemas.openxmlformats.org/officeDocument/2006/relationships/hyperlink" Target="https://ec.europa.eu/energy/sites/ener/files/documents/201404_ieel_third_jurisdictions.pdf" TargetMode="External"/><Relationship Id="rId18" Type="http://schemas.openxmlformats.org/officeDocument/2006/relationships/hyperlink" Target="https://eur-lex.europa.eu/legal-content/EN/TXT/?uri=uriserv:OJ.L_.2019.315.01.0187.01.ENG" TargetMode="External"/><Relationship Id="rId3" Type="http://schemas.openxmlformats.org/officeDocument/2006/relationships/hyperlink" Target="https://eur-lex.europa.eu/legal-content/EN/TXT/?uri=COM%3A2019%3A640%3AFIN" TargetMode="External"/><Relationship Id="rId21" Type="http://schemas.openxmlformats.org/officeDocument/2006/relationships/hyperlink" Target="https://eur-lex.europa.eu/legal-content/EN/AUTO/?uri=celex:32019R2018" TargetMode="External"/><Relationship Id="rId7" Type="http://schemas.openxmlformats.org/officeDocument/2006/relationships/hyperlink" Target="https://eur-lex.europa.eu/legal-content/EN/TXT/?uri=COM:2020:98:FIN&amp;WT.mc_id=Twitter" TargetMode="External"/><Relationship Id="rId12" Type="http://schemas.openxmlformats.org/officeDocument/2006/relationships/hyperlink" Target="https://data.europa.eu/data/datasets/s2238_91_4_492_eng?locale=en" TargetMode="External"/><Relationship Id="rId17" Type="http://schemas.openxmlformats.org/officeDocument/2006/relationships/hyperlink" Target="https://eur-lex.europa.eu/legal-content/EN/TXT/?uri=CELEX%3A32020R1044" TargetMode="External"/><Relationship Id="rId25" Type="http://schemas.openxmlformats.org/officeDocument/2006/relationships/hyperlink" Target="https://pubdb.bfe.admin.ch/de/publication/download/10718" TargetMode="External"/><Relationship Id="rId2" Type="http://schemas.openxmlformats.org/officeDocument/2006/relationships/hyperlink" Target="https://eur-lex.europa.eu/legal-content/EN/TXT/?uri=uriserv%3AOJ.L_.2015.177.01.0002.01.ENG" TargetMode="External"/><Relationship Id="rId16" Type="http://schemas.openxmlformats.org/officeDocument/2006/relationships/hyperlink" Target="https://eur-lex.europa.eu/legal-content/EN/TXT/HTML/?uri=CELEX:52022PC0150" TargetMode="External"/><Relationship Id="rId20" Type="http://schemas.openxmlformats.org/officeDocument/2006/relationships/hyperlink" Target="https://eur-lex.europa.eu/legal-content/EN/AUTO/?uri=celex:32019R2024https://eur-lex.europa.eu/legal-content/EN/AUTO/?uri=celex:32019R2024" TargetMode="External"/><Relationship Id="rId1" Type="http://schemas.openxmlformats.org/officeDocument/2006/relationships/hyperlink" Target="https://eur-lex.europa.eu/legal-content/EN/TXT/?uri=CELEX%3A32015R1095" TargetMode="External"/><Relationship Id="rId6" Type="http://schemas.openxmlformats.org/officeDocument/2006/relationships/hyperlink" Target="https://eur-lex.europa.eu/legal-content/EN/TXT/?uri=CELEX%3A52021DC0550" TargetMode="External"/><Relationship Id="rId11" Type="http://schemas.openxmlformats.org/officeDocument/2006/relationships/hyperlink" Target="https://eur-lex.europa.eu/eli/reg/2017/1369/oj" TargetMode="External"/><Relationship Id="rId24" Type="http://schemas.openxmlformats.org/officeDocument/2006/relationships/hyperlink" Target="https://eur-lex.europa.eu/legal-content/EN/TXT/?uri=celex%3A32014R0517" TargetMode="External"/><Relationship Id="rId5" Type="http://schemas.openxmlformats.org/officeDocument/2006/relationships/hyperlink" Target="https://eur-lex.europa.eu/legal-content/EN/TXT/?uri=CELEX%3A52020DC0562" TargetMode="External"/><Relationship Id="rId15" Type="http://schemas.openxmlformats.org/officeDocument/2006/relationships/hyperlink" Target="https://ec.europa.eu/growth/tools-databases/mandates/index.cfm?fuseaction=search.detail&amp;id=534" TargetMode="External"/><Relationship Id="rId23" Type="http://schemas.openxmlformats.org/officeDocument/2006/relationships/hyperlink" Target="https://baeredygtighed2030.ku.dk/pdf/freezer_test.pdf/" TargetMode="External"/><Relationship Id="rId10" Type="http://schemas.openxmlformats.org/officeDocument/2006/relationships/hyperlink" Target="https://eur-lex.europa.eu/legal-content/EN/ALL/?uri=celex%3A32009L0125" TargetMode="External"/><Relationship Id="rId19" Type="http://schemas.openxmlformats.org/officeDocument/2006/relationships/hyperlink" Target="https://eur-lex.europa.eu/legal-content/EN/AUTO/?uri=celex:32019R2016" TargetMode="External"/><Relationship Id="rId4" Type="http://schemas.openxmlformats.org/officeDocument/2006/relationships/hyperlink" Target="https://sdgs.un.org/2030agenda" TargetMode="External"/><Relationship Id="rId9" Type="http://schemas.openxmlformats.org/officeDocument/2006/relationships/hyperlink" Target="https://eur-lex.europa.eu/legal-content/EN/TXT/?uri=COM%3A2022%3A230%3AFIN&amp;qid=1653033742483" TargetMode="External"/><Relationship Id="rId14" Type="http://schemas.openxmlformats.org/officeDocument/2006/relationships/hyperlink" Target="https://eur-lex.europa.eu/legal-content/EN/TXT/?uri=uriserv%3AOJ.L_.2016.346.01.0001.01.ENG" TargetMode="External"/><Relationship Id="rId22" Type="http://schemas.openxmlformats.org/officeDocument/2006/relationships/hyperlink" Target="https://efpia.eu/media/554521/efpia_pharmafigures_2020_web.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IaLOGIKa\Eurolook\Templates\Euroloo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EurolookProperties>
  <ProductCustomizationId/>
  <Created>
    <Version>4.1</Version>
    <Date>2020-03-26T15:58:09</Date>
    <Language>FR</Language>
  </Created>
  <Edited>
    <Version>10.0.40769.0</Version>
    <Date>2020-05-19T17:13:12</Date>
  </Edited>
  <DocumentModel>
    <Id>6cbda13a-4db2-46c6-876a-ef72275827ef</Id>
    <Name>Report</Name>
  </DocumentModel>
  <DocumentDate/>
  <DocumentVersion/>
  <CompatibilityMode>Eurolook4X</CompatibilityMode>
  <Address/>
</EurolookProperties>
</file>

<file path=customXml/item2.xml><?xml version="1.0" encoding="utf-8"?>
<Texts>
  <SecurityPharma>Pharma Investigations</SecurityPharma>
  <MarkingUntilText>UNTIL</MarkingUntilText>
  <TOCHeading>Table des matières</TOCHeading>
  <FooterOffice>Bureau:</FooterOffice>
  <SecurityMediationServiceMatter>Mediation Service</SecurityMediationServiceMatter>
  <LabelPictureSeq>Figure {SEQ Figure \* ARABIC }: </LabelPictureSeq>
  <SecurityEconomyAndFinance>Economy and Finance</SecurityEconomyAndFinance>
  <COMPFootnoteText>{field:HYPERLINK "https://myintracomm.ec.europa.eu/corp/security/EN/newDS3/SensitiveInformation/Pages/SPECIAL-HANDLING-INFORMATION-DG-COMP.aspx?ln=en" |https://www.europa.eu/handling_instructions}</COMPFootnoteText>
  <LabelSource>Source</LabelSource>
  <SecurityOlafInvestigations>OLAF Investigations</SecurityOlafInvestigations>
  <TechHistoryCreatedBy>Document créé par</TechHistoryCreatedBy>
  <SpecialHandlingClima>CLIMA</SpecialHandlingClima>
  <ETSHandlingFootnote>{field:HYPERLINK "https://myintracomm.ec.europa.eu/corp/security/EN/newDS3/SensitiveInformation/Pages/default.aspx" |https://www.europa.eu/handling_instructions}.</ETSHandlingFootnote>
  <CLIMAfootnotetext>{field:HYPERLINK "https://myintracomm.ec.europa.eu/corp/security/EN/newDS3/SensitiveInformation/Pages/SPECIAL-HANDLING-INFORMATION-DG-CLIMA.aspx?ln=en" |https://www.europa.eu/handling_instructions}.</CLIMAfootnotetext>
  <FooterFax>Fax</FooterFax>
  <FooterPhone>Tél. ligne directe</FooterPhone>
  <SensitiveFootnoteHyperlink>{field:HYPERLINK "https://europa.eu/!db43PX" |https://europa.eu/!db43PX}</SensitiveFootnoteHyperlink>
  <SecurityOlafSpecialHandling>OLAF Investigations</SecurityOlafSpecialHandling>
  <ClimaSensitive>CLIMA</ClimaSensitive>
  <CourtProceduralDocuments>Court Procedural Documents</CourtProceduralDocuments>
  <AddresseeTo>Destinataire:</AddresseeTo>
  <EconomyFinanceHandling>{field:HYPERLINK "https://myintracomm.ec.europa.eu/corp/security/EN/newDS3/SensitiveInformation/Pages/SPECIAL-HANDLING-INFORMATION-DG-ECFIN.aspx?ln=en" |https://www.europa.eu/handling_instructions}</EconomyFinanceHandling>
  <TechHistoryDate>Date</TechHistoryDate>
  <SensitiveLabel>Sensitive</SensitiveLabel>
  <OLAFHandlingInstructions>{field:HYPERLINK "https://myintracomm.ec.europa.eu/corp/security/EN/newDS3/SensitiveInformation/Pages/SPECIAL-HANDLING-INFORMATION-OLAF-Investigations.aspx?ln=en" |https://www.europa.eu/handling_instructions}.</OLAFHandlingInstructions>
  <Contacts>Personnes à contacter:</Contacts>
  <SpecialHandlingLabel>Special Handling</SpecialHandlingLabel>
  <SecurityInvestigationsDisciplinary>Investigations and Disciplinary Matters</SecurityInvestigationsDisciplinary>
  <SecurityCompOperations>COMP Operations</SecurityCompOperations>
  <SensitiveFootnoteHyperlinkIASOperations>Handling instructions for SENSITIVE information are given at {field: HYPERLINK "https://europa.eu/!db43PX" |https://europa.eu/!db43PX}.</SensitiveFootnoteHyperlinkIASOperations>
  <SecurityReleasable>RELEASABLE TO:</SecurityReleasable>
  <SecurityStaffMatter>Staff Matter</SecurityStaffMatter>
  <SecurityOpinionLegalService>Opinion of the Legal Service</SecurityOpinionLegalService>
  <PharmaHandlingInstructions>{field:HYPERLINK "https://myintracomm.ec.europa.eu/corp/security/EN/newDS3/SensitiveInformation/Pages/SPECIAL-HANDLING-INFORMATION-Pharma-investigations.aspx?ln=en" |https://www.europa.eu/handling_instructions}</PharmaHandlingInstructions>
  <OrgaRoot>COMMISSION EUROPÉENNE</OrgaRoot>
  <SecurityEtsSensitive>ETS</SecurityEtsSensitive>
  <TechHistoryVersion>Version</TechHistoryVersion>
  <TechHistory>Tableau de l'historique</TechHistory>
  <SecurityEtsCritical>ETS Critical</SecurityEtsCritical>
  <SecurityCompSpecial>COMP</SecurityCompSpecial>
  <EmbargoUnlimited>Embargo (Unlimited)</EmbargoUnlimited>
  <SecurityPharmaSpecial>Pharma Investigations</SecurityPharmaSpecial>
  <ETSLimited>ETS Joint Procurement</ETSLimited>
  <SecurityIasOperations>IAS Operations</SecurityIasOperations>
  <SensitiveHandling>Ne pas diffuser. Ne pas lire ni transporter ouvertement dans l'espace public Conserver de manière sécurisée et crypter lors du stockage et de la transmission. Détruire les exemplaires par broyage ou suppression sécurisée. Instructions de traitement complètes disponibles à l'adresse suivante: </SensitiveHandling>
  <TechHistoryComment>Commentaire</TechHistoryComment>
  <SecuritySecurityMatter>Security Matter</SecuritySecurityMatter>
  <Contact>Personne à contacter:</Contact>
  <SensitiveHandlingIASOperations>The marking is applied to operational documents handled in the context of audits, consulting engagements and risk assessments of the Internal Audit Service. Distribution of the documents is based on a strictly ‘need-to-know’ basis. Recipients of the documents must adhere to the same marking and handling rules, preventing unauthorised persons from accessing such documents or information. When a document marked ‘{bold:SENSITIVE}: {italic:IAS Operations}’ is sent via e-mail, it must be encrypted and a disclaimer must be added in a signature. Any person receiving documents and all associated information marked ‘{bold:SENSITIVE}: {italic:IAS Operations}’ who is not the intended recipient must inform the sender and destroy the documents by appropriate secure means. The documents may contain personal data as defined in Article 3(1) of Regulation (EU) 2018/1725. Recipients are subject to the responsibilities defined in this article.</SensitiveHandlingIASOperations>
  <Table>Tableau</Table>
  <AddressFooterBrussels>Commission européenne, 1049 Bruxelles, BELGIQUE - Tél. +32 22991111</AddressFooterBrussels>
  <SecurityMedicalSecret>Medical Secret</SecurityMedicalSecret>
  <SecurityEmbargo>EMBARGO UNTIL</SecurityEmbargo>
  <SpecialHandlingFootnote>Les instructions d’utilisation se trouvent à l’adresse </SpecialHandlingFootnote>
  <DateFormatShort>dd/MM/yyyy</DateFormatShort>
  <DateFormatLong>d MMMM yyyy</DateFormatLong>
</Texts>
</file>

<file path=customXml/item3.xml><?xml version="1.0" encoding="utf-8"?>
<Author Role="Creator">
  <Id>2d608cc7-10a8-45ba-8862-7afe757232b2</Id>
  <Names>
    <Latin>
      <FirstName>Jean-Marie</FirstName>
      <LastName>REMY</LastName>
    </Latin>
    <Greek>
      <FirstName/>
      <LastName/>
    </Greek>
    <Cyrillic>
      <FirstName/>
      <LastName/>
    </Cyrillic>
    <DocumentScript>
      <FirstName>Jean-Marie</FirstName>
      <LastName>REMY</LastName>
      <FullName>Jean-Marie REMY</FullName>
    </DocumentScript>
  </Names>
  <Initials>JR</Initials>
  <Gender>m</Gender>
  <Email>Jean-Marie.Remy@ec.europa.eu</Email>
  <Service>GROW.F</Service>
  <Function ADCode="" ShowInSignature="true" ShowInHeader="false" HeaderText=""/>
  <WebAddress/>
  <InheritedWebAddress>WebAddress</InheritedWebAddress>
  <OrgaEntity1>
    <Id>10e4c4ea-a7d8-4b9b-8851-f5da0d664898</Id>
    <LogicalLevel>1</LogicalLevel>
    <Name>GROW</Name>
    <HeadLine1>DIRECTION GÉNÉRALE DU MARCHÉ INTÉRIEUR, DE L'INDUSTRIE, DE L'ENTREPRENEURIAT</HeadLine1>
    <HeadLine2>ET DES PME</HeadLine2>
    <PrimaryAddressId>f03b5801-04c9-4931-aa17-c6d6c70bc579</PrimaryAddressId>
    <SecondaryAddressId/>
    <WebAddress>WebAddress</WebAddress>
    <InheritedWebAddress>WebAddress</InheritedWebAddress>
    <ShowInHeader>true</ShowInHeader>
  </OrgaEntity1>
  <OrgaEntity2>
    <Id>7072ed14-78ce-4712-9559-5c0ad2058bd6</Id>
    <LogicalLevel>2</LogicalLevel>
    <Name>GROW.F</Name>
    <HeadLine1>Politique industrielle et de l’innovation</HeadLine1>
    <HeadLine2/>
    <PrimaryAddressId>f03b5801-04c9-4931-aa17-c6d6c70bc579</PrimaryAddressId>
    <SecondaryAddressId/>
    <WebAddress/>
    <InheritedWebAddress>WebAddress</InheritedWebAddress>
    <ShowInHeader>true</ShowInHeader>
  </OrgaEntity2>
  <OrgaEntity3/>
  <Addresses>
    <Address>
      <Id>f03b5801-04c9-4931-aa17-c6d6c70bc579</Id>
      <Name>Brussels</Name>
      <PhoneNumberPrefix>+32 229-</PhoneNumberPrefix>
      <TranslatedName>Bruxelles</TranslatedName>
      <Location>Bruxelles, le</Location>
      <Footer>Commission européenne, 1049 Bruxelles, BELGIQUE - Tél. +32 22991111</Footer>
    </Address>
    <Address>
      <Id>1264fb81-f6bb-475e-9f9d-a937d3be6ee2</Id>
      <Name>Luxembourg</Name>
      <PhoneNumberPrefix>+352 4301-</PhoneNumberPrefix>
      <TranslatedName>Luxembourg</TranslatedName>
      <Location>Luxembourg, le</Location>
      <Footer>Commission européenne, 2920 Luxembourg, LUXEMBOURG - Tél. +352 43011</Footer>
    </Address>
  </Addresses>
  <JobAssignmentId/>
  <MainWorkplace IsMain="true">
    <AddressId>f03b5801-04c9-4931-aa17-c6d6c70bc579</AddressId>
    <Fax/>
    <Phone>+32 229-63115</Phone>
    <Office>N105 07/020</Office>
  </MainWorkplace>
  <Workplaces>
    <Workplace IsMain="false">
      <AddressId>1264fb81-f6bb-475e-9f9d-a937d3be6ee2</AddressId>
      <Fax/>
      <Phone/>
      <Office/>
    </Workplace>
    <Workplace IsMain="true">
      <AddressId>f03b5801-04c9-4931-aa17-c6d6c70bc579</AddressId>
      <Fax/>
      <Phone>+32 229-63115</Phone>
      <Office>N105 07/020</Office>
    </Workplace>
  </Workplaces>
</Author>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0C502-8207-44AA-873E-483F92239804}">
  <ds:schemaRefs/>
</ds:datastoreItem>
</file>

<file path=customXml/itemProps2.xml><?xml version="1.0" encoding="utf-8"?>
<ds:datastoreItem xmlns:ds="http://schemas.openxmlformats.org/officeDocument/2006/customXml" ds:itemID="{BDE122FA-71F7-4797-8E7E-5A85845C8BA9}">
  <ds:schemaRefs/>
</ds:datastoreItem>
</file>

<file path=customXml/itemProps3.xml><?xml version="1.0" encoding="utf-8"?>
<ds:datastoreItem xmlns:ds="http://schemas.openxmlformats.org/officeDocument/2006/customXml" ds:itemID="{90FA3237-4DCD-4328-81F4-33D6F54F581F}">
  <ds:schemaRefs/>
</ds:datastoreItem>
</file>

<file path=customXml/itemProps4.xml><?xml version="1.0" encoding="utf-8"?>
<ds:datastoreItem xmlns:ds="http://schemas.openxmlformats.org/officeDocument/2006/customXml" ds:itemID="{6D74AB54-6251-4B43-B784-BBBAAF090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Eurolook</Template>
  <TotalTime>9</TotalTime>
  <Pages>22</Pages>
  <Words>6451</Words>
  <Characters>36052</Characters>
  <Application>Microsoft Office Word</Application>
  <DocSecurity>0</DocSecurity>
  <PresentationFormat>Microsoft Word 11.0</PresentationFormat>
  <Lines>300</Lines>
  <Paragraphs>84</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42419</CharactersWithSpaces>
  <SharedDoc>false</SharedDoc>
  <HyperlinkBase/>
  <HLinks>
    <vt:vector size="12" baseType="variant">
      <vt:variant>
        <vt:i4>3604494</vt:i4>
      </vt:variant>
      <vt:variant>
        <vt:i4>2387</vt:i4>
      </vt:variant>
      <vt:variant>
        <vt:i4>1025</vt:i4>
      </vt:variant>
      <vt:variant>
        <vt:i4>1</vt:i4>
      </vt:variant>
      <vt:variant>
        <vt:lpwstr>LOGO-CE for RTD EN Positive</vt:lpwstr>
      </vt:variant>
      <vt:variant>
        <vt:lpwstr/>
      </vt:variant>
      <vt:variant>
        <vt:i4>57</vt:i4>
      </vt:variant>
      <vt:variant>
        <vt:i4>-1</vt:i4>
      </vt:variant>
      <vt:variant>
        <vt:i4>2113</vt:i4>
      </vt:variant>
      <vt:variant>
        <vt:i4>1</vt:i4>
      </vt:variant>
      <vt:variant>
        <vt:lpwstr>Footer Box RTD 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European Commission</dc:creator>
  <cp:lastModifiedBy>POLVERINI Davide (GROW)</cp:lastModifiedBy>
  <cp:revision>5</cp:revision>
  <cp:lastPrinted>2022-10-11T10:15:00Z</cp:lastPrinted>
  <dcterms:created xsi:type="dcterms:W3CDTF">2022-10-21T13:11:00Z</dcterms:created>
  <dcterms:modified xsi:type="dcterms:W3CDTF">2022-10-21T16:04:00Z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4.1.5.8</vt:lpwstr>
  </property>
  <property fmtid="{D5CDD505-2E9C-101B-9397-08002B2CF9AE}" pid="3" name="EurolookVersion">
    <vt:lpwstr>4.1</vt:lpwstr>
  </property>
  <property fmtid="{D5CDD505-2E9C-101B-9397-08002B2CF9AE}" pid="4" name="DocID_EU">
    <vt:lpwstr> </vt:lpwstr>
  </property>
  <property fmtid="{D5CDD505-2E9C-101B-9397-08002B2CF9AE}" pid="5" name="Created using">
    <vt:lpwstr>EL 4.1XL XL [20040326]</vt:lpwstr>
  </property>
  <property fmtid="{D5CDD505-2E9C-101B-9397-08002B2CF9AE}" pid="6" name="Formatting">
    <vt:lpwstr>4.1</vt:lpwstr>
  </property>
  <property fmtid="{D5CDD505-2E9C-101B-9397-08002B2CF9AE}" pid="7" name="Last edited using">
    <vt:lpwstr>EL 4.6 Build 50000</vt:lpwstr>
  </property>
  <property fmtid="{D5CDD505-2E9C-101B-9397-08002B2CF9AE}" pid="8" name="EL_Author">
    <vt:lpwstr>Yolande Petit</vt:lpwstr>
  </property>
  <property fmtid="{D5CDD505-2E9C-101B-9397-08002B2CF9AE}" pid="9" name="Type">
    <vt:lpwstr>Eurolook Report</vt:lpwstr>
  </property>
  <property fmtid="{D5CDD505-2E9C-101B-9397-08002B2CF9AE}" pid="10" name="Language">
    <vt:lpwstr>FR</vt:lpwstr>
  </property>
  <property fmtid="{D5CDD505-2E9C-101B-9397-08002B2CF9AE}" pid="11" name="EL_Language">
    <vt:lpwstr>FR</vt:lpwstr>
  </property>
  <property fmtid="{D5CDD505-2E9C-101B-9397-08002B2CF9AE}" pid="12" name="ELDocType">
    <vt:lpwstr>rep.dot</vt:lpwstr>
  </property>
</Properties>
</file>