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96CFA" w14:textId="7FF9A566" w:rsidR="00693A7C" w:rsidRDefault="00597807" w:rsidP="009539A4">
      <w:pPr>
        <w:pStyle w:val="Pagedecouverture"/>
      </w:pPr>
      <w:r>
        <w:pict w14:anchorId="4E6AF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591EE970-75C4-46E5-AEDB-8D833C0FE0C0" style="width:455.15pt;height:341.2pt">
            <v:imagedata r:id="rId11" o:title=""/>
          </v:shape>
        </w:pict>
      </w:r>
    </w:p>
    <w:p w14:paraId="04C6847F" w14:textId="77777777" w:rsidR="00693A7C" w:rsidRDefault="00693A7C" w:rsidP="00693A7C">
      <w:pPr>
        <w:sectPr w:rsidR="00693A7C" w:rsidSect="006238B0">
          <w:headerReference w:type="even" r:id="rId12"/>
          <w:headerReference w:type="default" r:id="rId13"/>
          <w:footerReference w:type="even" r:id="rId14"/>
          <w:footerReference w:type="default" r:id="rId15"/>
          <w:headerReference w:type="first" r:id="rId16"/>
          <w:footerReference w:type="first" r:id="rId17"/>
          <w:pgSz w:w="11907" w:h="16839"/>
          <w:pgMar w:top="1134" w:right="1417" w:bottom="1134" w:left="1417" w:header="709" w:footer="709" w:gutter="0"/>
          <w:pgNumType w:start="0"/>
          <w:cols w:space="720"/>
          <w:docGrid w:linePitch="360"/>
        </w:sectPr>
      </w:pPr>
    </w:p>
    <w:p w14:paraId="4ED5AF2A" w14:textId="77777777" w:rsidR="00693A7C" w:rsidRPr="00FB18DC" w:rsidRDefault="00693A7C" w:rsidP="006E3955">
      <w:pPr>
        <w:pStyle w:val="Exposdesmotifstitre"/>
      </w:pPr>
      <w:r w:rsidRPr="00FB18DC">
        <w:lastRenderedPageBreak/>
        <w:t>EXPLANATORY MEMORANDUM</w:t>
      </w:r>
    </w:p>
    <w:p w14:paraId="76ADAC7B" w14:textId="77777777" w:rsidR="00693A7C" w:rsidRDefault="00693A7C" w:rsidP="006E3955">
      <w:pPr>
        <w:pStyle w:val="ManualHeading1"/>
      </w:pPr>
      <w:r w:rsidRPr="00FB18DC">
        <w:t>1.</w:t>
      </w:r>
      <w:r w:rsidRPr="00FB18DC">
        <w:tab/>
      </w:r>
      <w:r>
        <w:t>CONTEXT OF THE DELEGATED ACT</w:t>
      </w:r>
    </w:p>
    <w:p w14:paraId="7FBEDCCC" w14:textId="77777777" w:rsidR="00314DD9" w:rsidRDefault="00314DD9" w:rsidP="00314DD9">
      <w:pPr>
        <w:rPr>
          <w:lang w:val="en-IE"/>
        </w:rPr>
      </w:pPr>
      <w:r>
        <w:rPr>
          <w:lang w:val="en-IE"/>
        </w:rPr>
        <w:t xml:space="preserve">This draft Commission </w:t>
      </w:r>
      <w:r w:rsidR="003D33DD">
        <w:rPr>
          <w:lang w:val="en-IE"/>
        </w:rPr>
        <w:t xml:space="preserve">delegated regulation </w:t>
      </w:r>
      <w:r>
        <w:rPr>
          <w:lang w:val="en-IE"/>
        </w:rPr>
        <w:t>sets requirements for the energy labelling and the provision of product information for smartphones and slate tablets. The objectives are to contribute to the EU climate and energy targets and to the material efficiency objectives set out in the Circular Economy Action Plan 2020. More specifically, this initiative, due to the specific design of the energy label, would help deliver on the three specific objectives:</w:t>
      </w:r>
    </w:p>
    <w:p w14:paraId="58297086" w14:textId="77777777" w:rsidR="00314DD9" w:rsidRPr="0052694C" w:rsidRDefault="00314DD9" w:rsidP="0052694C">
      <w:pPr>
        <w:pStyle w:val="Point1letter"/>
        <w:numPr>
          <w:ilvl w:val="3"/>
          <w:numId w:val="15"/>
        </w:numPr>
      </w:pPr>
      <w:r w:rsidRPr="0052694C">
        <w:t>facilitating repair and increasing durability of these products and key components (</w:t>
      </w:r>
      <w:proofErr w:type="gramStart"/>
      <w:r w:rsidRPr="0052694C">
        <w:t>e.g.</w:t>
      </w:r>
      <w:proofErr w:type="gramEnd"/>
      <w:r w:rsidRPr="0052694C">
        <w:t xml:space="preserve"> battery and display);</w:t>
      </w:r>
    </w:p>
    <w:p w14:paraId="48CEAC9B" w14:textId="77777777" w:rsidR="00314DD9" w:rsidRPr="0052694C" w:rsidRDefault="00314DD9" w:rsidP="004742AC">
      <w:pPr>
        <w:pStyle w:val="Point1letter"/>
        <w:numPr>
          <w:ilvl w:val="3"/>
          <w:numId w:val="15"/>
        </w:numPr>
      </w:pPr>
      <w:r w:rsidRPr="0052694C">
        <w:t xml:space="preserve">fostering product designs aimed </w:t>
      </w:r>
      <w:r w:rsidR="003D33DD" w:rsidRPr="0052694C">
        <w:t xml:space="preserve">at </w:t>
      </w:r>
      <w:r w:rsidRPr="0052694C">
        <w:t>achiev</w:t>
      </w:r>
      <w:r w:rsidR="003D33DD" w:rsidRPr="0052694C">
        <w:t>ing</w:t>
      </w:r>
      <w:r w:rsidRPr="0052694C">
        <w:t xml:space="preserve"> cost-efficient material and energy savings; and</w:t>
      </w:r>
    </w:p>
    <w:p w14:paraId="3BC08DAD" w14:textId="77777777" w:rsidR="00314DD9" w:rsidRPr="0052694C" w:rsidRDefault="00314DD9" w:rsidP="004742AC">
      <w:pPr>
        <w:pStyle w:val="Point1letter"/>
        <w:numPr>
          <w:ilvl w:val="3"/>
          <w:numId w:val="15"/>
        </w:numPr>
      </w:pPr>
      <w:r w:rsidRPr="0052694C">
        <w:t xml:space="preserve">helping consumers </w:t>
      </w:r>
      <w:r w:rsidR="003D33DD" w:rsidRPr="0052694C">
        <w:t xml:space="preserve">make </w:t>
      </w:r>
      <w:r w:rsidRPr="0052694C">
        <w:t>an informed and sustainable choice at the point of sale.</w:t>
      </w:r>
    </w:p>
    <w:p w14:paraId="6507F7BE" w14:textId="77777777" w:rsidR="00314DD9" w:rsidRPr="00EC62EC" w:rsidRDefault="00693A7C" w:rsidP="00EC62EC">
      <w:pPr>
        <w:pStyle w:val="ManualHeading1"/>
      </w:pPr>
      <w:r w:rsidRPr="00EC62EC">
        <w:t>2.</w:t>
      </w:r>
      <w:r w:rsidRPr="00EC62EC">
        <w:tab/>
        <w:t>CONSULTATIONS PRIOR TO THE ADOPTION OF THE ACT</w:t>
      </w:r>
    </w:p>
    <w:p w14:paraId="7DB82250" w14:textId="77777777" w:rsidR="00314DD9" w:rsidRDefault="00314DD9" w:rsidP="00314DD9">
      <w:pPr>
        <w:rPr>
          <w:szCs w:val="24"/>
          <w:lang w:val="en-US" w:eastAsia="fr-FR"/>
        </w:rPr>
      </w:pPr>
      <w:r>
        <w:rPr>
          <w:lang w:val="en-US" w:eastAsia="fr-FR"/>
        </w:rPr>
        <w:t>The consultation activities are described at length in the Annex 2 (</w:t>
      </w:r>
      <w:r w:rsidR="003D33DD" w:rsidRPr="005C0BF2">
        <w:rPr>
          <w:lang w:eastAsia="fr-FR"/>
        </w:rPr>
        <w:t>‘</w:t>
      </w:r>
      <w:r>
        <w:rPr>
          <w:lang w:val="en-US" w:eastAsia="fr-FR"/>
        </w:rPr>
        <w:t>Synopsis report</w:t>
      </w:r>
      <w:r w:rsidR="003D33DD" w:rsidRPr="005C0BF2">
        <w:rPr>
          <w:lang w:eastAsia="fr-FR"/>
        </w:rPr>
        <w:t>’</w:t>
      </w:r>
      <w:r>
        <w:rPr>
          <w:lang w:val="en-US" w:eastAsia="fr-FR"/>
        </w:rPr>
        <w:t xml:space="preserve">) of the draft </w:t>
      </w:r>
      <w:r w:rsidR="003D33DD">
        <w:rPr>
          <w:lang w:val="en-US" w:eastAsia="fr-FR"/>
        </w:rPr>
        <w:t xml:space="preserve">impact </w:t>
      </w:r>
      <w:r>
        <w:rPr>
          <w:lang w:val="en-US" w:eastAsia="fr-FR"/>
        </w:rPr>
        <w:t>assessment. The stakeholders</w:t>
      </w:r>
      <w:r w:rsidR="003D33DD" w:rsidRPr="005C0BF2">
        <w:rPr>
          <w:lang w:eastAsia="fr-FR"/>
        </w:rPr>
        <w:t>’</w:t>
      </w:r>
      <w:r>
        <w:rPr>
          <w:lang w:val="en-US" w:eastAsia="fr-FR"/>
        </w:rPr>
        <w:t xml:space="preserve"> opinions </w:t>
      </w:r>
      <w:r w:rsidR="003D33DD">
        <w:rPr>
          <w:lang w:val="en-US" w:eastAsia="fr-FR"/>
        </w:rPr>
        <w:t xml:space="preserve">were </w:t>
      </w:r>
      <w:r>
        <w:rPr>
          <w:lang w:val="en-US" w:eastAsia="fr-FR"/>
        </w:rPr>
        <w:t xml:space="preserve">quite often </w:t>
      </w:r>
      <w:r w:rsidR="003D33DD">
        <w:rPr>
          <w:lang w:val="en-US" w:eastAsia="fr-FR"/>
        </w:rPr>
        <w:t xml:space="preserve">divergent and </w:t>
      </w:r>
      <w:proofErr w:type="spellStart"/>
      <w:r>
        <w:rPr>
          <w:lang w:val="en-US" w:eastAsia="fr-FR"/>
        </w:rPr>
        <w:t>polari</w:t>
      </w:r>
      <w:r w:rsidR="003D33DD">
        <w:rPr>
          <w:lang w:val="en-US" w:eastAsia="fr-FR"/>
        </w:rPr>
        <w:t>s</w:t>
      </w:r>
      <w:r>
        <w:rPr>
          <w:lang w:val="en-US" w:eastAsia="fr-FR"/>
        </w:rPr>
        <w:t>ed</w:t>
      </w:r>
      <w:proofErr w:type="spellEnd"/>
      <w:r>
        <w:rPr>
          <w:lang w:val="en-US" w:eastAsia="fr-FR"/>
        </w:rPr>
        <w:t xml:space="preserve"> between different categories</w:t>
      </w:r>
      <w:r w:rsidR="003D33DD">
        <w:rPr>
          <w:lang w:val="en-US" w:eastAsia="fr-FR"/>
        </w:rPr>
        <w:t>,</w:t>
      </w:r>
      <w:r>
        <w:rPr>
          <w:lang w:val="en-US" w:eastAsia="fr-FR"/>
        </w:rPr>
        <w:t xml:space="preserve"> typically</w:t>
      </w:r>
      <w:r w:rsidR="003D33DD">
        <w:rPr>
          <w:lang w:val="en-US" w:eastAsia="fr-FR"/>
        </w:rPr>
        <w:t xml:space="preserve"> with</w:t>
      </w:r>
      <w:r>
        <w:rPr>
          <w:lang w:val="en-US" w:eastAsia="fr-FR"/>
        </w:rPr>
        <w:t xml:space="preserve"> original equipment manufacturers on one side, and repairers on the other</w:t>
      </w:r>
      <w:r w:rsidR="003D33DD" w:rsidRPr="005C0BF2">
        <w:rPr>
          <w:lang w:eastAsia="fr-FR"/>
        </w:rPr>
        <w:t xml:space="preserve">. These opinions </w:t>
      </w:r>
      <w:r>
        <w:rPr>
          <w:lang w:val="en-US" w:eastAsia="fr-FR"/>
        </w:rPr>
        <w:t xml:space="preserve">can be </w:t>
      </w:r>
      <w:proofErr w:type="spellStart"/>
      <w:r>
        <w:rPr>
          <w:lang w:val="en-US" w:eastAsia="fr-FR"/>
        </w:rPr>
        <w:t>summarised</w:t>
      </w:r>
      <w:proofErr w:type="spellEnd"/>
      <w:r>
        <w:rPr>
          <w:lang w:val="en-US" w:eastAsia="fr-FR"/>
        </w:rPr>
        <w:t xml:space="preserve"> as follows:</w:t>
      </w:r>
    </w:p>
    <w:p w14:paraId="1C0965A7" w14:textId="77777777" w:rsidR="003D33DD" w:rsidRPr="000958D8" w:rsidRDefault="003D33DD" w:rsidP="004742AC">
      <w:pPr>
        <w:pStyle w:val="Tiret0"/>
        <w:numPr>
          <w:ilvl w:val="0"/>
          <w:numId w:val="16"/>
        </w:numPr>
        <w:rPr>
          <w:rFonts w:ascii="Calibri" w:hAnsi="Calibri" w:cs="Calibri"/>
          <w:sz w:val="22"/>
          <w:lang w:eastAsia="ar-SA"/>
        </w:rPr>
      </w:pPr>
      <w:r w:rsidRPr="005C0BF2">
        <w:t xml:space="preserve">the EU Member States </w:t>
      </w:r>
      <w:r w:rsidRPr="005C0BF2">
        <w:rPr>
          <w:b/>
          <w:bCs/>
        </w:rPr>
        <w:t>cautiously welcomed</w:t>
      </w:r>
      <w:r w:rsidRPr="005C0BF2">
        <w:t xml:space="preserve"> the Commission</w:t>
      </w:r>
      <w:r>
        <w:t>’s</w:t>
      </w:r>
      <w:r w:rsidRPr="005C0BF2">
        <w:t xml:space="preserve"> work on potential </w:t>
      </w:r>
      <w:proofErr w:type="spellStart"/>
      <w:r w:rsidRPr="005C0BF2">
        <w:t>ecodesign</w:t>
      </w:r>
      <w:proofErr w:type="spellEnd"/>
      <w:r w:rsidRPr="005C0BF2">
        <w:t xml:space="preserve"> requirements and </w:t>
      </w:r>
      <w:r>
        <w:t xml:space="preserve">the </w:t>
      </w:r>
      <w:r w:rsidRPr="005C0BF2">
        <w:t>energy labelling of mobile phones and tablets (</w:t>
      </w:r>
      <w:r w:rsidRPr="005C0BF2">
        <w:rPr>
          <w:b/>
          <w:bCs/>
        </w:rPr>
        <w:t xml:space="preserve">advocating </w:t>
      </w:r>
      <w:proofErr w:type="gramStart"/>
      <w:r w:rsidRPr="005C0BF2">
        <w:rPr>
          <w:b/>
          <w:bCs/>
        </w:rPr>
        <w:t xml:space="preserve">in particular </w:t>
      </w:r>
      <w:r>
        <w:t>for</w:t>
      </w:r>
      <w:proofErr w:type="gramEnd"/>
      <w:r w:rsidRPr="00E11A56">
        <w:t xml:space="preserve"> the latter </w:t>
      </w:r>
      <w:r w:rsidRPr="005C0BF2">
        <w:rPr>
          <w:b/>
          <w:bCs/>
        </w:rPr>
        <w:t>the inclusion of a reparability</w:t>
      </w:r>
      <w:r w:rsidRPr="005C0BF2">
        <w:t xml:space="preserve"> score in the energy label); </w:t>
      </w:r>
      <w:r>
        <w:t xml:space="preserve">at the same time, </w:t>
      </w:r>
      <w:r w:rsidRPr="005C0BF2">
        <w:rPr>
          <w:b/>
          <w:bCs/>
        </w:rPr>
        <w:t xml:space="preserve">some concerns </w:t>
      </w:r>
      <w:r w:rsidRPr="00345D83">
        <w:t>were raised</w:t>
      </w:r>
      <w:r w:rsidRPr="000958D8">
        <w:rPr>
          <w:b/>
          <w:bCs/>
        </w:rPr>
        <w:t xml:space="preserve"> </w:t>
      </w:r>
      <w:r w:rsidRPr="005C0BF2">
        <w:rPr>
          <w:b/>
          <w:bCs/>
        </w:rPr>
        <w:t>on the testing burden</w:t>
      </w:r>
      <w:r w:rsidRPr="005C0BF2">
        <w:t xml:space="preserve"> (in particular related to the number of devices to be tested).</w:t>
      </w:r>
    </w:p>
    <w:p w14:paraId="2F8D849F" w14:textId="77777777" w:rsidR="00314DD9" w:rsidRPr="00040099" w:rsidRDefault="00314DD9" w:rsidP="004742AC">
      <w:pPr>
        <w:pStyle w:val="Tiret0"/>
        <w:numPr>
          <w:ilvl w:val="0"/>
          <w:numId w:val="16"/>
        </w:numPr>
        <w:rPr>
          <w:lang w:val="en-IE"/>
        </w:rPr>
      </w:pPr>
      <w:r w:rsidRPr="00040099">
        <w:rPr>
          <w:lang w:val="en-IE"/>
        </w:rPr>
        <w:t xml:space="preserve">the standardisation organisations highlighted some caveats concerning the direct ‘use’ (in terms of classifications, definitions), for regulatory purposes, of the EN 45554 standard, developed in reply to the Commission’s </w:t>
      </w:r>
      <w:r w:rsidR="00040099" w:rsidRPr="00040099">
        <w:rPr>
          <w:lang w:val="en-IE"/>
        </w:rPr>
        <w:t>standardis</w:t>
      </w:r>
      <w:r w:rsidR="00040099" w:rsidRPr="004B27E1">
        <w:rPr>
          <w:lang w:val="en-IE"/>
        </w:rPr>
        <w:t xml:space="preserve">ation </w:t>
      </w:r>
      <w:r w:rsidRPr="004B27E1">
        <w:rPr>
          <w:lang w:val="en-IE"/>
        </w:rPr>
        <w:t>request M/543.</w:t>
      </w:r>
    </w:p>
    <w:p w14:paraId="63259024" w14:textId="77777777" w:rsidR="00314DD9" w:rsidRDefault="00040099" w:rsidP="00314DD9">
      <w:pPr>
        <w:pStyle w:val="Tiret0"/>
        <w:rPr>
          <w:lang w:val="en-IE"/>
        </w:rPr>
      </w:pPr>
      <w:r>
        <w:rPr>
          <w:lang w:val="en-IE"/>
        </w:rPr>
        <w:t xml:space="preserve">The main </w:t>
      </w:r>
      <w:r w:rsidR="00314DD9">
        <w:rPr>
          <w:lang w:val="en-IE"/>
        </w:rPr>
        <w:t xml:space="preserve">industry (original equipment manufacturers) players were proactive and participative during the process. While they </w:t>
      </w:r>
      <w:r>
        <w:rPr>
          <w:lang w:val="en-IE"/>
        </w:rPr>
        <w:t xml:space="preserve">generally </w:t>
      </w:r>
      <w:r w:rsidR="00314DD9">
        <w:rPr>
          <w:lang w:val="en-IE"/>
        </w:rPr>
        <w:t xml:space="preserve">supported the preparatory work on the potential </w:t>
      </w:r>
      <w:proofErr w:type="spellStart"/>
      <w:r w:rsidR="00314DD9">
        <w:rPr>
          <w:lang w:val="en-IE"/>
        </w:rPr>
        <w:t>Ecodesign</w:t>
      </w:r>
      <w:proofErr w:type="spellEnd"/>
      <w:r w:rsidR="00314DD9">
        <w:rPr>
          <w:lang w:val="en-IE"/>
        </w:rPr>
        <w:t xml:space="preserve"> requirements for mobile phones and tablets, </w:t>
      </w:r>
      <w:r w:rsidR="00314DD9" w:rsidRPr="00314DD9">
        <w:rPr>
          <w:b/>
          <w:lang w:val="en-IE"/>
        </w:rPr>
        <w:t xml:space="preserve">they expressed some reservations, </w:t>
      </w:r>
      <w:proofErr w:type="gramStart"/>
      <w:r w:rsidR="00314DD9" w:rsidRPr="00314DD9">
        <w:rPr>
          <w:b/>
          <w:lang w:val="en-IE"/>
        </w:rPr>
        <w:t>in particular on</w:t>
      </w:r>
      <w:proofErr w:type="gramEnd"/>
      <w:r w:rsidR="00314DD9" w:rsidRPr="00314DD9">
        <w:rPr>
          <w:b/>
          <w:lang w:val="en-IE"/>
        </w:rPr>
        <w:t xml:space="preserve"> the draft requirements on improved reparability and spare parts availability. They were not supportive of the proposed energy labelling scheme, claiming that the benefits are not fully clear</w:t>
      </w:r>
      <w:r w:rsidR="00314DD9">
        <w:rPr>
          <w:lang w:val="en-IE"/>
        </w:rPr>
        <w:t xml:space="preserve">, given that manufacturers are already highly </w:t>
      </w:r>
      <w:r>
        <w:rPr>
          <w:lang w:val="en-IE"/>
        </w:rPr>
        <w:t xml:space="preserve">incentivised </w:t>
      </w:r>
      <w:r w:rsidR="00314DD9">
        <w:rPr>
          <w:lang w:val="en-IE"/>
        </w:rPr>
        <w:t>to ensure efficient phones for end-user satisfaction.</w:t>
      </w:r>
    </w:p>
    <w:p w14:paraId="3317A0C0" w14:textId="77777777" w:rsidR="00314DD9" w:rsidRDefault="00314DD9" w:rsidP="00314DD9">
      <w:pPr>
        <w:pStyle w:val="Tiret0"/>
        <w:rPr>
          <w:lang w:val="en-IE"/>
        </w:rPr>
      </w:pPr>
      <w:r>
        <w:rPr>
          <w:lang w:val="en-IE"/>
        </w:rPr>
        <w:t xml:space="preserve">SMEs, mainly working in the field of repair, </w:t>
      </w:r>
      <w:proofErr w:type="gramStart"/>
      <w:r>
        <w:rPr>
          <w:lang w:val="en-IE"/>
        </w:rPr>
        <w:t>refurbishment</w:t>
      </w:r>
      <w:proofErr w:type="gramEnd"/>
      <w:r>
        <w:rPr>
          <w:lang w:val="en-IE"/>
        </w:rPr>
        <w:t xml:space="preserve"> and recycling, </w:t>
      </w:r>
      <w:r w:rsidRPr="00314DD9">
        <w:rPr>
          <w:b/>
          <w:lang w:val="en-IE"/>
        </w:rPr>
        <w:t>judged as important (a game changer</w:t>
      </w:r>
      <w:r>
        <w:rPr>
          <w:lang w:val="en-IE"/>
        </w:rPr>
        <w:t xml:space="preserve">, in some cases) the proposed material efficiency requirements on durability, reparability, upgradability, maintenance, reuse and recycling. </w:t>
      </w:r>
    </w:p>
    <w:p w14:paraId="2C7EC044" w14:textId="77777777" w:rsidR="00314DD9" w:rsidRDefault="00314DD9" w:rsidP="00314DD9">
      <w:pPr>
        <w:pStyle w:val="Tiret0"/>
        <w:rPr>
          <w:lang w:val="en-IE"/>
        </w:rPr>
      </w:pPr>
      <w:r>
        <w:rPr>
          <w:lang w:val="en-IE"/>
        </w:rPr>
        <w:t xml:space="preserve">environmental and consumer NGOs, as well as repairers' organisation, welcomed the Commission work on potential </w:t>
      </w:r>
      <w:proofErr w:type="spellStart"/>
      <w:r>
        <w:rPr>
          <w:lang w:val="en-IE"/>
        </w:rPr>
        <w:t>ecodesign</w:t>
      </w:r>
      <w:proofErr w:type="spellEnd"/>
      <w:r>
        <w:rPr>
          <w:lang w:val="en-IE"/>
        </w:rPr>
        <w:t xml:space="preserve"> requirements and energy labelling of mobile phones and tablets, </w:t>
      </w:r>
      <w:r>
        <w:rPr>
          <w:b/>
          <w:bCs/>
          <w:lang w:val="en-IE"/>
        </w:rPr>
        <w:t>while pushing, in some cases, for tighter requirements</w:t>
      </w:r>
      <w:r>
        <w:rPr>
          <w:lang w:val="en-IE"/>
        </w:rPr>
        <w:t>.</w:t>
      </w:r>
    </w:p>
    <w:p w14:paraId="15A2B45E" w14:textId="77777777" w:rsidR="00314DD9" w:rsidRDefault="00314DD9" w:rsidP="00314DD9">
      <w:pPr>
        <w:rPr>
          <w:szCs w:val="24"/>
          <w:lang w:val="en-IE"/>
        </w:rPr>
      </w:pPr>
      <w:r>
        <w:rPr>
          <w:szCs w:val="24"/>
          <w:lang w:val="en-IE"/>
        </w:rPr>
        <w:lastRenderedPageBreak/>
        <w:t xml:space="preserve">Each of the comments was analysed in detail, and changes to the draft </w:t>
      </w:r>
      <w:r w:rsidR="004B27E1">
        <w:rPr>
          <w:szCs w:val="24"/>
          <w:lang w:val="en-IE"/>
        </w:rPr>
        <w:t xml:space="preserve">regulations </w:t>
      </w:r>
      <w:r>
        <w:rPr>
          <w:szCs w:val="24"/>
          <w:lang w:val="en-IE"/>
        </w:rPr>
        <w:t>were made, when feasible and relevant, in particular:</w:t>
      </w:r>
    </w:p>
    <w:p w14:paraId="1DEE2E73" w14:textId="77777777" w:rsidR="00314DD9" w:rsidRDefault="004B27E1" w:rsidP="00314DD9">
      <w:pPr>
        <w:pStyle w:val="Tiret0"/>
        <w:rPr>
          <w:lang w:val="en-IE"/>
        </w:rPr>
      </w:pPr>
      <w:r>
        <w:rPr>
          <w:lang w:val="en-IE"/>
        </w:rPr>
        <w:t>attention was given</w:t>
      </w:r>
      <w:r w:rsidR="00314DD9">
        <w:rPr>
          <w:lang w:val="en-IE"/>
        </w:rPr>
        <w:t xml:space="preserve"> to elaborate testing methods</w:t>
      </w:r>
      <w:r>
        <w:rPr>
          <w:lang w:val="en-IE"/>
        </w:rPr>
        <w:t xml:space="preserve"> that are</w:t>
      </w:r>
      <w:r w:rsidR="00314DD9">
        <w:rPr>
          <w:lang w:val="en-IE"/>
        </w:rPr>
        <w:t xml:space="preserve"> not excessively burdensome in terms of duration and complexity</w:t>
      </w:r>
      <w:r>
        <w:rPr>
          <w:lang w:val="en-IE"/>
        </w:rPr>
        <w:t>; and</w:t>
      </w:r>
    </w:p>
    <w:p w14:paraId="5578C360" w14:textId="77777777" w:rsidR="00314DD9" w:rsidRDefault="004B27E1" w:rsidP="00314DD9">
      <w:pPr>
        <w:pStyle w:val="Tiret0"/>
        <w:rPr>
          <w:lang w:val="en-IE"/>
        </w:rPr>
      </w:pPr>
      <w:r>
        <w:t>i</w:t>
      </w:r>
      <w:r w:rsidRPr="005C0BF2">
        <w:t xml:space="preserve">n the impact assessment, specific estimations were made confirming the relevance of the proposed energy label </w:t>
      </w:r>
      <w:r>
        <w:t>in terms of</w:t>
      </w:r>
      <w:r w:rsidRPr="005C0BF2">
        <w:t xml:space="preserve"> the expected energy savings, alongside the material efficiency aspects</w:t>
      </w:r>
      <w:r w:rsidR="00314DD9">
        <w:rPr>
          <w:lang w:val="en-IE"/>
        </w:rPr>
        <w:t>.</w:t>
      </w:r>
    </w:p>
    <w:p w14:paraId="14EC0C4D" w14:textId="77777777" w:rsidR="00693A7C" w:rsidRDefault="00693A7C" w:rsidP="006E3955">
      <w:pPr>
        <w:pStyle w:val="ManualHeading1"/>
      </w:pPr>
      <w:r w:rsidRPr="00FB18DC">
        <w:t>3.</w:t>
      </w:r>
      <w:r w:rsidRPr="00FB18DC">
        <w:tab/>
      </w:r>
      <w:r>
        <w:t>LEGAL ELEMENTS OF THE DELEGATED ACT</w:t>
      </w:r>
    </w:p>
    <w:p w14:paraId="3EA091F5" w14:textId="77777777" w:rsidR="00F52105" w:rsidRDefault="00F52105" w:rsidP="00F52105">
      <w:pPr>
        <w:rPr>
          <w:szCs w:val="24"/>
          <w:lang w:val="en-IE"/>
        </w:rPr>
      </w:pPr>
      <w:r>
        <w:rPr>
          <w:color w:val="000000"/>
          <w:lang w:val="en-US"/>
        </w:rPr>
        <w:t xml:space="preserve">The draft </w:t>
      </w:r>
      <w:r w:rsidR="005D2303">
        <w:rPr>
          <w:i/>
          <w:iCs/>
          <w:color w:val="000000"/>
          <w:lang w:val="en-US"/>
        </w:rPr>
        <w:t>energy labelling regulation</w:t>
      </w:r>
      <w:r w:rsidR="005D2303">
        <w:rPr>
          <w:color w:val="000000"/>
          <w:lang w:val="en-US"/>
        </w:rPr>
        <w:t xml:space="preserve"> </w:t>
      </w:r>
      <w:r>
        <w:rPr>
          <w:lang w:val="en-IE"/>
        </w:rPr>
        <w:t xml:space="preserve">introduces an </w:t>
      </w:r>
      <w:r w:rsidR="005D2303">
        <w:rPr>
          <w:lang w:val="en-IE"/>
        </w:rPr>
        <w:t xml:space="preserve">energy label </w:t>
      </w:r>
      <w:r>
        <w:rPr>
          <w:lang w:val="en-IE"/>
        </w:rPr>
        <w:t xml:space="preserve">(for smartphones and slate tablets) that contains information on the energy efficiency of the device as well as information on material efficiency aspects. The </w:t>
      </w:r>
      <w:r w:rsidR="005D2303">
        <w:rPr>
          <w:lang w:val="en-IE"/>
        </w:rPr>
        <w:t xml:space="preserve">energy </w:t>
      </w:r>
      <w:r>
        <w:rPr>
          <w:lang w:val="en-IE"/>
        </w:rPr>
        <w:t>efficiency is determined in accordance with an energy efficiency index. The label also contains information related to material efficiency aspects, namely:</w:t>
      </w:r>
    </w:p>
    <w:p w14:paraId="310C2F62" w14:textId="77777777" w:rsidR="00F52105" w:rsidRPr="00D23F76" w:rsidRDefault="00F52105" w:rsidP="00D23F76">
      <w:pPr>
        <w:pStyle w:val="Point1letter"/>
        <w:numPr>
          <w:ilvl w:val="3"/>
          <w:numId w:val="14"/>
        </w:numPr>
      </w:pPr>
      <w:r w:rsidRPr="00D23F76">
        <w:t xml:space="preserve">the battery endurance per cycle and in </w:t>
      </w:r>
      <w:proofErr w:type="gramStart"/>
      <w:r w:rsidRPr="00D23F76">
        <w:t>cycles;</w:t>
      </w:r>
      <w:proofErr w:type="gramEnd"/>
    </w:p>
    <w:p w14:paraId="3B82921A" w14:textId="77777777" w:rsidR="00F52105" w:rsidRPr="00D23F76" w:rsidRDefault="00F52105" w:rsidP="004742AC">
      <w:pPr>
        <w:pStyle w:val="Point1letter"/>
        <w:numPr>
          <w:ilvl w:val="3"/>
          <w:numId w:val="14"/>
        </w:numPr>
      </w:pPr>
      <w:r w:rsidRPr="00D23F76">
        <w:t>the repeated free fall reliability (</w:t>
      </w:r>
      <w:proofErr w:type="gramStart"/>
      <w:r w:rsidRPr="00D23F76">
        <w:t>i.e.</w:t>
      </w:r>
      <w:proofErr w:type="gramEnd"/>
      <w:r w:rsidRPr="00D23F76">
        <w:t xml:space="preserve"> how many falls the device can withstand </w:t>
      </w:r>
      <w:r w:rsidR="005D2303" w:rsidRPr="00D23F76">
        <w:t xml:space="preserve">while </w:t>
      </w:r>
      <w:r w:rsidRPr="00D23F76">
        <w:t>remaining operational),</w:t>
      </w:r>
    </w:p>
    <w:p w14:paraId="1B2BBE92" w14:textId="77777777" w:rsidR="00F52105" w:rsidRPr="00D23F76" w:rsidRDefault="00F52105" w:rsidP="004742AC">
      <w:pPr>
        <w:pStyle w:val="Point1letter"/>
        <w:numPr>
          <w:ilvl w:val="3"/>
          <w:numId w:val="14"/>
        </w:numPr>
      </w:pPr>
      <w:r w:rsidRPr="00D23F76">
        <w:t xml:space="preserve">the </w:t>
      </w:r>
      <w:r w:rsidR="005D2303" w:rsidRPr="00D23F76">
        <w:t xml:space="preserve">dust and water </w:t>
      </w:r>
      <w:r w:rsidRPr="00D23F76">
        <w:t>ingress protection,</w:t>
      </w:r>
    </w:p>
    <w:p w14:paraId="783AB9AF" w14:textId="77777777" w:rsidR="00F52105" w:rsidRPr="00D23F76" w:rsidRDefault="00F52105" w:rsidP="004742AC">
      <w:pPr>
        <w:pStyle w:val="Point1letter"/>
        <w:numPr>
          <w:ilvl w:val="3"/>
          <w:numId w:val="14"/>
        </w:numPr>
      </w:pPr>
      <w:r w:rsidRPr="00D23F76">
        <w:t xml:space="preserve">a reparability score, based on scoring criteria (such as disassembly depth, </w:t>
      </w:r>
      <w:proofErr w:type="gramStart"/>
      <w:r w:rsidRPr="00D23F76">
        <w:t>fasteners</w:t>
      </w:r>
      <w:proofErr w:type="gramEnd"/>
      <w:r w:rsidRPr="00D23F76">
        <w:t xml:space="preserve"> and tools to be used in the repair process, et</w:t>
      </w:r>
      <w:r w:rsidR="005D2303" w:rsidRPr="00D23F76">
        <w:t>c</w:t>
      </w:r>
      <w:r w:rsidRPr="00D23F76">
        <w:t>.) set out to rate the extent to which products are reparable.</w:t>
      </w:r>
    </w:p>
    <w:p w14:paraId="7FF255D2" w14:textId="77777777" w:rsidR="00693A7C" w:rsidRDefault="00693A7C" w:rsidP="006E3955">
      <w:pPr>
        <w:sectPr w:rsidR="00693A7C" w:rsidSect="006238B0">
          <w:footerReference w:type="default" r:id="rId18"/>
          <w:footerReference w:type="first" r:id="rId19"/>
          <w:pgSz w:w="11907" w:h="16839"/>
          <w:pgMar w:top="1134" w:right="1417" w:bottom="1134" w:left="1417" w:header="709" w:footer="709" w:gutter="0"/>
          <w:cols w:space="708"/>
          <w:docGrid w:linePitch="360"/>
        </w:sectPr>
      </w:pPr>
    </w:p>
    <w:p w14:paraId="0ED3652F" w14:textId="77777777" w:rsidR="00693A7C" w:rsidRPr="00937BA9" w:rsidRDefault="00DD7B39" w:rsidP="00DD7B39">
      <w:pPr>
        <w:pStyle w:val="Typedudocument"/>
      </w:pPr>
      <w:r w:rsidRPr="00DD7B39">
        <w:lastRenderedPageBreak/>
        <w:t>COMMISSION DELEGATED REGULATION (EU) …/...</w:t>
      </w:r>
    </w:p>
    <w:p w14:paraId="5EDD7458" w14:textId="77777777" w:rsidR="00693A7C" w:rsidRPr="00CE4FF7" w:rsidRDefault="00DD7B39" w:rsidP="00DD7B39">
      <w:pPr>
        <w:pStyle w:val="Datedadoption"/>
      </w:pPr>
      <w:r w:rsidRPr="00DD7B39">
        <w:t xml:space="preserve">of </w:t>
      </w:r>
      <w:r w:rsidRPr="00DD7B39">
        <w:rPr>
          <w:rStyle w:val="Marker2"/>
        </w:rPr>
        <w:t>XXX</w:t>
      </w:r>
    </w:p>
    <w:p w14:paraId="70C53D9D" w14:textId="77777777" w:rsidR="00693A7C" w:rsidRPr="000E0D32" w:rsidRDefault="00DD7B39" w:rsidP="00DD7B39">
      <w:pPr>
        <w:pStyle w:val="Titreobjet"/>
      </w:pPr>
      <w:r w:rsidRPr="00DD7B39">
        <w:t xml:space="preserve">supplementing Regulation (EU) 2017/1369 of the European Parliament and of the Council </w:t>
      </w:r>
      <w:proofErr w:type="gramStart"/>
      <w:r w:rsidRPr="00DD7B39">
        <w:t>with regard to</w:t>
      </w:r>
      <w:proofErr w:type="gramEnd"/>
      <w:r w:rsidRPr="00DD7B39">
        <w:t xml:space="preserve"> the energy labelling of smartphones and slate tablets</w:t>
      </w:r>
    </w:p>
    <w:p w14:paraId="59D9B495" w14:textId="77777777" w:rsidR="00E82120" w:rsidRPr="00922C91" w:rsidRDefault="00E82120" w:rsidP="00E82120">
      <w:pPr>
        <w:pStyle w:val="Institutionquiagit"/>
      </w:pPr>
      <w:r w:rsidRPr="00922C91">
        <w:t>THE EUROPEAN COMMISSION,</w:t>
      </w:r>
    </w:p>
    <w:p w14:paraId="0FF19E69" w14:textId="77777777" w:rsidR="00E82120" w:rsidRPr="00922C91" w:rsidRDefault="00E82120" w:rsidP="00E82120">
      <w:r w:rsidRPr="00922C91">
        <w:rPr>
          <w:color w:val="000000"/>
        </w:rPr>
        <w:t>Having regard to the Treaty on the Functioning of the European Union</w:t>
      </w:r>
      <w:r w:rsidRPr="00922C91">
        <w:t>,</w:t>
      </w:r>
    </w:p>
    <w:p w14:paraId="4356D34C" w14:textId="77777777" w:rsidR="00E82120" w:rsidRPr="00822CDB" w:rsidRDefault="00E82120" w:rsidP="00E82120">
      <w:pPr>
        <w:rPr>
          <w:lang w:eastAsia="de-DE"/>
        </w:rPr>
      </w:pPr>
      <w:r w:rsidRPr="000344E3">
        <w:rPr>
          <w:lang w:eastAsia="de-DE"/>
        </w:rPr>
        <w:t xml:space="preserve">Having regard to Regulation (EU) 2017/1369 of the European Parliament and of the Council of 4 July 2017 setting a framework for energy labelling </w:t>
      </w:r>
      <w:r w:rsidRPr="000344E3">
        <w:t xml:space="preserve">and </w:t>
      </w:r>
      <w:r w:rsidRPr="000344E3">
        <w:rPr>
          <w:lang w:eastAsia="de-DE"/>
        </w:rPr>
        <w:t>repealing Directive 2010/30/EU</w:t>
      </w:r>
      <w:r w:rsidRPr="00426074">
        <w:rPr>
          <w:rStyle w:val="Fotnotereferanse"/>
        </w:rPr>
        <w:footnoteReference w:id="2"/>
      </w:r>
      <w:r w:rsidRPr="001426BF">
        <w:rPr>
          <w:lang w:eastAsia="de-DE"/>
        </w:rPr>
        <w:t xml:space="preserve">, and </w:t>
      </w:r>
      <w:proofErr w:type="gramStart"/>
      <w:r w:rsidRPr="001426BF">
        <w:rPr>
          <w:lang w:eastAsia="de-DE"/>
        </w:rPr>
        <w:t>in particular Article</w:t>
      </w:r>
      <w:proofErr w:type="gramEnd"/>
      <w:r w:rsidRPr="001426BF">
        <w:rPr>
          <w:lang w:eastAsia="de-DE"/>
        </w:rPr>
        <w:t xml:space="preserve"> 16(1) thereof, </w:t>
      </w:r>
    </w:p>
    <w:p w14:paraId="74F4EA71" w14:textId="77777777" w:rsidR="00E82120" w:rsidRPr="00922C91" w:rsidRDefault="00E82120" w:rsidP="00E82120">
      <w:r w:rsidRPr="00922C91">
        <w:t>Whereas:</w:t>
      </w:r>
    </w:p>
    <w:p w14:paraId="72D2D71A" w14:textId="77777777" w:rsidR="00E82120" w:rsidRPr="00D23F76" w:rsidRDefault="00E82120" w:rsidP="00D23F76">
      <w:pPr>
        <w:pStyle w:val="Considrant"/>
        <w:numPr>
          <w:ilvl w:val="0"/>
          <w:numId w:val="7"/>
        </w:numPr>
      </w:pPr>
      <w:r w:rsidRPr="00D23F76">
        <w:t>Regulation (EU) 2017/1369 empowers the Commission to adopt delegated acts as regards the labelling or re-scaling of the labelling of product groups representing significant potential for energy savings and, where relevant, other resources.</w:t>
      </w:r>
    </w:p>
    <w:p w14:paraId="1D92E992" w14:textId="77777777" w:rsidR="00E82120" w:rsidRPr="00D23F76" w:rsidRDefault="00E82120" w:rsidP="00D23F76">
      <w:pPr>
        <w:pStyle w:val="Considrant"/>
      </w:pPr>
      <w:r w:rsidRPr="00D23F76">
        <w:t xml:space="preserve">The Commission has carried out a preparatory study to analyse the technical, </w:t>
      </w:r>
      <w:proofErr w:type="gramStart"/>
      <w:r w:rsidRPr="00D23F76">
        <w:t>environmental</w:t>
      </w:r>
      <w:proofErr w:type="gramEnd"/>
      <w:r w:rsidRPr="00D23F76">
        <w:t xml:space="preserve"> and economic aspects of mobile phones, smartphones and slate tablets. The study was conducted in close cooperation with stakeholders and interested parties in the </w:t>
      </w:r>
      <w:r w:rsidR="00A93C9C" w:rsidRPr="00D23F76">
        <w:t xml:space="preserve">Union </w:t>
      </w:r>
      <w:r w:rsidRPr="00D23F76">
        <w:t>and third countries,</w:t>
      </w:r>
      <w:r w:rsidR="35D5C3CD" w:rsidRPr="00D23F76">
        <w:t xml:space="preserve"> and the results have been made publicly available.</w:t>
      </w:r>
    </w:p>
    <w:p w14:paraId="281759E3" w14:textId="56A681F2" w:rsidR="00E82120" w:rsidRPr="00D23F76" w:rsidRDefault="00E82120" w:rsidP="00D23F76">
      <w:pPr>
        <w:pStyle w:val="Considrant"/>
      </w:pPr>
      <w:r w:rsidRPr="00D23F76">
        <w:t>The preparatory study concluded that the scope for reducing the energy consumption of smartphones and slate tablets</w:t>
      </w:r>
      <w:r w:rsidR="00C84CC2">
        <w:t xml:space="preserve"> </w:t>
      </w:r>
      <w:r w:rsidRPr="00D23F76">
        <w:t>is substantial. It also concluded that the battery lifetime and consequently the product lifetime of smartphones and slate tablets can significantly be improved by means of an energy labelling scheme</w:t>
      </w:r>
      <w:r w:rsidR="00600345" w:rsidRPr="00D23F76">
        <w:t xml:space="preserve">. Smartphones and slate tablets </w:t>
      </w:r>
      <w:r w:rsidR="35D5C3CD" w:rsidRPr="00D23F76">
        <w:t xml:space="preserve">should therefore be covered by energy labelling requirements. </w:t>
      </w:r>
      <w:r w:rsidR="00600345" w:rsidRPr="00D23F76">
        <w:t>An energy label is however currently not seen as appropriate for cordless phones and feature phones, given the moderate spread in the energy efficiency of products available on the market.</w:t>
      </w:r>
    </w:p>
    <w:p w14:paraId="22E016C2" w14:textId="1A30E639" w:rsidR="00E82120" w:rsidRPr="00D23F76" w:rsidRDefault="00E82120" w:rsidP="00D23F76">
      <w:pPr>
        <w:pStyle w:val="Considrant"/>
      </w:pPr>
      <w:r w:rsidRPr="00D23F76">
        <w:t>In total</w:t>
      </w:r>
      <w:r w:rsidR="009E1A33" w:rsidRPr="00D23F76">
        <w:t>,</w:t>
      </w:r>
      <w:r w:rsidRPr="00D23F76">
        <w:t xml:space="preserve"> smartphones and slate tablets consumed 36,1 </w:t>
      </w:r>
      <w:proofErr w:type="spellStart"/>
      <w:r w:rsidRPr="00D23F76">
        <w:t>TWh</w:t>
      </w:r>
      <w:proofErr w:type="spellEnd"/>
      <w:r w:rsidRPr="00D23F76">
        <w:t xml:space="preserve"> of primary energy in 2020, </w:t>
      </w:r>
      <w:r w:rsidR="00BE58B9" w:rsidRPr="00D23F76">
        <w:t xml:space="preserve">including </w:t>
      </w:r>
      <w:r w:rsidRPr="00D23F76">
        <w:t>all life cycle phases. The preparatory study showed that, without regulat</w:t>
      </w:r>
      <w:r w:rsidR="0011003D" w:rsidRPr="00D23F76">
        <w:t>ory action</w:t>
      </w:r>
      <w:r w:rsidRPr="00D23F76">
        <w:t xml:space="preserve">, these values are likely to increase to 36,5 </w:t>
      </w:r>
      <w:proofErr w:type="spellStart"/>
      <w:r w:rsidRPr="00D23F76">
        <w:t>TWh</w:t>
      </w:r>
      <w:proofErr w:type="spellEnd"/>
      <w:r w:rsidRPr="00D23F76">
        <w:t xml:space="preserve"> of primary energy in 2030. The combined effect of this Regulation and [OP: please insert reference to accompanying Commission Regulation including </w:t>
      </w:r>
      <w:proofErr w:type="spellStart"/>
      <w:r w:rsidRPr="00D23F76">
        <w:t>ecodesign</w:t>
      </w:r>
      <w:proofErr w:type="spellEnd"/>
      <w:r w:rsidRPr="00D23F76">
        <w:t xml:space="preserve"> requirements for smartphones and tablets] is expected to limit the energy consumption of smartphones and slate tablets in 2030 to 23</w:t>
      </w:r>
      <w:r w:rsidR="00E15899" w:rsidRPr="00D23F76">
        <w:t>.</w:t>
      </w:r>
      <w:r w:rsidRPr="00D23F76">
        <w:t xml:space="preserve">3 </w:t>
      </w:r>
      <w:proofErr w:type="spellStart"/>
      <w:r w:rsidRPr="00D23F76">
        <w:t>TWh</w:t>
      </w:r>
      <w:proofErr w:type="spellEnd"/>
      <w:r w:rsidRPr="00D23F76">
        <w:t>, meaning 35</w:t>
      </w:r>
      <w:r w:rsidR="00A93C9C" w:rsidRPr="00D23F76">
        <w:t xml:space="preserve"> </w:t>
      </w:r>
      <w:r w:rsidRPr="00D23F76">
        <w:t xml:space="preserve">% of primary energy consumption is saved </w:t>
      </w:r>
      <w:r w:rsidR="7586FA55" w:rsidRPr="00D23F76">
        <w:t>compared to what would happen if no measures were taken.</w:t>
      </w:r>
    </w:p>
    <w:p w14:paraId="09D5DA49" w14:textId="77777777" w:rsidR="00E82120" w:rsidRPr="0052694C" w:rsidRDefault="00E82120" w:rsidP="0052694C">
      <w:pPr>
        <w:pStyle w:val="Considrant"/>
        <w:rPr>
          <w:lang w:val="en-US"/>
        </w:rPr>
      </w:pPr>
      <w:r>
        <w:t>Smartphones and slate tablets that are displayed at trade fairs should bear the energy label if the first unit of the model has already been placed on the market or is placed on the market at the trade fair.</w:t>
      </w:r>
    </w:p>
    <w:p w14:paraId="6C23D2C5" w14:textId="77777777" w:rsidR="00E82120" w:rsidRPr="002359A5" w:rsidRDefault="00E82120" w:rsidP="00E82120">
      <w:pPr>
        <w:pStyle w:val="Considrant"/>
        <w:rPr>
          <w:lang w:val="en-US"/>
        </w:rPr>
      </w:pPr>
      <w:r w:rsidRPr="001426BF">
        <w:t xml:space="preserve">The relevant product parameters should be measured or calculated using reliable, accurate and reproducible methods. </w:t>
      </w:r>
      <w:r w:rsidRPr="002359A5">
        <w:rPr>
          <w:lang w:val="en-US"/>
        </w:rPr>
        <w:t xml:space="preserve">Those methods should </w:t>
      </w:r>
      <w:proofErr w:type="gramStart"/>
      <w:r w:rsidRPr="002359A5">
        <w:rPr>
          <w:lang w:val="en-US"/>
        </w:rPr>
        <w:t>take into account</w:t>
      </w:r>
      <w:proofErr w:type="gramEnd"/>
      <w:r w:rsidRPr="002359A5">
        <w:rPr>
          <w:lang w:val="en-US"/>
        </w:rPr>
        <w:t xml:space="preserve"> </w:t>
      </w:r>
      <w:proofErr w:type="spellStart"/>
      <w:r w:rsidRPr="002359A5">
        <w:rPr>
          <w:lang w:val="en-US"/>
        </w:rPr>
        <w:lastRenderedPageBreak/>
        <w:t>recognised</w:t>
      </w:r>
      <w:proofErr w:type="spellEnd"/>
      <w:r w:rsidRPr="002359A5">
        <w:rPr>
          <w:lang w:val="en-US"/>
        </w:rPr>
        <w:t xml:space="preserve"> state-of-the-art measurement methods including, where available, </w:t>
      </w:r>
      <w:proofErr w:type="spellStart"/>
      <w:r w:rsidRPr="002359A5">
        <w:rPr>
          <w:lang w:val="en-US"/>
        </w:rPr>
        <w:t>harmonised</w:t>
      </w:r>
      <w:proofErr w:type="spellEnd"/>
      <w:r w:rsidRPr="002359A5">
        <w:rPr>
          <w:lang w:val="en-US"/>
        </w:rPr>
        <w:t xml:space="preserve"> standards adopted by the European </w:t>
      </w:r>
      <w:proofErr w:type="spellStart"/>
      <w:r w:rsidRPr="002359A5">
        <w:rPr>
          <w:lang w:val="en-US"/>
        </w:rPr>
        <w:t>standardisation</w:t>
      </w:r>
      <w:proofErr w:type="spellEnd"/>
      <w:r w:rsidRPr="002359A5">
        <w:rPr>
          <w:lang w:val="en-US"/>
        </w:rPr>
        <w:t xml:space="preserve"> bodies, as listed in Annex I to Regulation (EU) No 1025/2012 of the European Parliament and of the Council</w:t>
      </w:r>
      <w:r w:rsidRPr="00426074">
        <w:rPr>
          <w:rStyle w:val="Fotnotereferanse"/>
        </w:rPr>
        <w:footnoteReference w:id="3"/>
      </w:r>
      <w:r w:rsidRPr="002359A5">
        <w:rPr>
          <w:lang w:val="en-US"/>
        </w:rPr>
        <w:t>.</w:t>
      </w:r>
    </w:p>
    <w:p w14:paraId="3559CEDF" w14:textId="77777777" w:rsidR="00E82120" w:rsidRPr="00D23F76" w:rsidRDefault="7586FA55" w:rsidP="00D23F76">
      <w:pPr>
        <w:pStyle w:val="Considrant"/>
      </w:pPr>
      <w:r w:rsidRPr="00D23F76">
        <w:t xml:space="preserve">To facilitate compliance checks, </w:t>
      </w:r>
      <w:r w:rsidR="00E82120" w:rsidRPr="00D23F76">
        <w:t>the content of the technical documentation referred to in Annex VI should be sufficient to allow market surveillance authorities to check the values published on the label and in the product information sheet. In accordance with Article 12 of Regulation 2017/1369, values for the measured and calculated parameters of the model should be entered into the product database.</w:t>
      </w:r>
    </w:p>
    <w:p w14:paraId="51620BDD" w14:textId="05A371EC" w:rsidR="00E82120" w:rsidRPr="00D23F76" w:rsidRDefault="00EA46EB" w:rsidP="00D23F76">
      <w:pPr>
        <w:pStyle w:val="Considrant"/>
      </w:pPr>
      <w:r w:rsidRPr="00D23F76">
        <w:t>Recognising the growth of sales of energy-related products through providers of online platforms, as defined in the [</w:t>
      </w:r>
      <w:r w:rsidRPr="00D23F76">
        <w:rPr>
          <w:highlight w:val="yellow"/>
        </w:rPr>
        <w:t>add</w:t>
      </w:r>
      <w:r w:rsidRPr="00D23F76">
        <w:t xml:space="preserve"> </w:t>
      </w:r>
      <w:r w:rsidRPr="00D23F76">
        <w:rPr>
          <w:highlight w:val="yellow"/>
        </w:rPr>
        <w:t>reference to the Digital Services Act</w:t>
      </w:r>
      <w:r w:rsidRPr="00D23F76">
        <w:t xml:space="preserve">], rather than directly from suppliers’ websites, it should be clarified that such providers of online platforms should </w:t>
      </w:r>
      <w:r w:rsidR="00A2695B" w:rsidRPr="00D23F76">
        <w:t>enable</w:t>
      </w:r>
      <w:r w:rsidRPr="00D23F76">
        <w:t xml:space="preserve"> traders to provide information concerning the labelling of the product concerned, in compliance with Article 31</w:t>
      </w:r>
      <w:r w:rsidR="00A2695B" w:rsidRPr="00D23F76">
        <w:t>(2)</w:t>
      </w:r>
      <w:r w:rsidRPr="00D23F76">
        <w:t xml:space="preserve"> of the [</w:t>
      </w:r>
      <w:r w:rsidRPr="00D23F76">
        <w:rPr>
          <w:highlight w:val="yellow"/>
        </w:rPr>
        <w:t>add</w:t>
      </w:r>
      <w:r w:rsidRPr="00D23F76">
        <w:t xml:space="preserve"> </w:t>
      </w:r>
      <w:r w:rsidRPr="00D23F76">
        <w:rPr>
          <w:highlight w:val="yellow"/>
        </w:rPr>
        <w:t>reference to the Digital Services Act</w:t>
      </w:r>
      <w:r w:rsidRPr="00D23F76">
        <w:t xml:space="preserve">]. </w:t>
      </w:r>
      <w:r w:rsidR="00A2695B" w:rsidRPr="00D23F76">
        <w:t>The ‘i</w:t>
      </w:r>
      <w:r w:rsidRPr="00D23F76">
        <w:t xml:space="preserve">nformation concerning the labelling </w:t>
      </w:r>
      <w:r w:rsidR="00A2695B" w:rsidRPr="00D23F76">
        <w:t xml:space="preserve">and marking’ </w:t>
      </w:r>
      <w:r w:rsidRPr="00D23F76">
        <w:t>referred to in Article 31</w:t>
      </w:r>
      <w:r w:rsidR="00A2695B" w:rsidRPr="00D23F76">
        <w:t xml:space="preserve">(2), point (c) </w:t>
      </w:r>
      <w:r w:rsidRPr="00D23F76">
        <w:t>of [</w:t>
      </w:r>
      <w:r w:rsidRPr="00D23F76">
        <w:rPr>
          <w:highlight w:val="yellow"/>
        </w:rPr>
        <w:t>add</w:t>
      </w:r>
      <w:r w:rsidRPr="00D23F76">
        <w:t xml:space="preserve"> </w:t>
      </w:r>
      <w:r w:rsidRPr="00D23F76">
        <w:rPr>
          <w:highlight w:val="yellow"/>
        </w:rPr>
        <w:t>reference to the Digital Services Act</w:t>
      </w:r>
      <w:r w:rsidRPr="00D23F76">
        <w:t>]</w:t>
      </w:r>
      <w:r w:rsidR="3827E89C" w:rsidRPr="00D23F76">
        <w:t xml:space="preserve"> </w:t>
      </w:r>
      <w:r w:rsidRPr="00D23F76">
        <w:t>should, in the context of this Regulation, be understood</w:t>
      </w:r>
      <w:r w:rsidR="00A2695B" w:rsidRPr="00D23F76">
        <w:t xml:space="preserve"> as</w:t>
      </w:r>
      <w:r w:rsidRPr="00D23F76">
        <w:t xml:space="preserve"> encompassing both the energy label and the product information sheet. In line with Article 6 of the [</w:t>
      </w:r>
      <w:r w:rsidRPr="00D23F76">
        <w:rPr>
          <w:highlight w:val="yellow"/>
        </w:rPr>
        <w:t>add</w:t>
      </w:r>
      <w:r w:rsidRPr="00D23F76">
        <w:t xml:space="preserve"> </w:t>
      </w:r>
      <w:r w:rsidRPr="00D23F76">
        <w:rPr>
          <w:highlight w:val="yellow"/>
        </w:rPr>
        <w:t>reference to the Digital Services Act</w:t>
      </w:r>
      <w:r w:rsidRPr="00D23F76">
        <w:t>], providers of online platforms are not liable for products sold through their interfaces on the condition that they do not have actual knowledge of the illegality of such products and upon receiving knowledge on the illegality of the products they act expeditiously to remove them from their interfaces.</w:t>
      </w:r>
      <w:r w:rsidR="00E82120" w:rsidRPr="00D23F76">
        <w:t xml:space="preserve"> A supplier selling directly to end-users via its own website is covered by dealers’ distance selling obligations referred to in Article 5 of Regulation (EU) 2017/1369.</w:t>
      </w:r>
    </w:p>
    <w:p w14:paraId="396E08BC" w14:textId="77777777" w:rsidR="00E82120" w:rsidRPr="00D23F76" w:rsidRDefault="00E82120" w:rsidP="00D23F76">
      <w:pPr>
        <w:pStyle w:val="Considrant"/>
      </w:pPr>
      <w:proofErr w:type="gramStart"/>
      <w:r w:rsidRPr="00D23F76">
        <w:t>In order to</w:t>
      </w:r>
      <w:proofErr w:type="gramEnd"/>
      <w:r w:rsidRPr="00D23F76">
        <w:t xml:space="preserve"> ensure coherence with </w:t>
      </w:r>
      <w:r w:rsidR="009F41CE" w:rsidRPr="00D23F76">
        <w:t>existing</w:t>
      </w:r>
      <w:r w:rsidRPr="00D23F76">
        <w:t xml:space="preserve"> industry norms, references in this Regulation related to fasteners and connectors, tools, working environment and skill level, in the context of calculating the repairability score, are consistent with the terminology of used in standard EN 45554, which provides g</w:t>
      </w:r>
      <w:r w:rsidR="7586FA55" w:rsidRPr="00D23F76">
        <w:t>eneral methods for the assessment of the ability to repair, reuse and upgrade energy-related products</w:t>
      </w:r>
      <w:r w:rsidRPr="00D23F76">
        <w:t>.</w:t>
      </w:r>
    </w:p>
    <w:p w14:paraId="4D51D9E8" w14:textId="77777777" w:rsidR="00BE58B9" w:rsidRPr="00D23F76" w:rsidRDefault="00BE58B9" w:rsidP="00D23F76">
      <w:pPr>
        <w:pStyle w:val="Considrant"/>
      </w:pPr>
      <w:r w:rsidRPr="00D23F76">
        <w:t>The requirements set out in this Regulation should apply from 18 months after its entry into force.</w:t>
      </w:r>
      <w:r w:rsidR="0075057D" w:rsidRPr="00D23F76">
        <w:t xml:space="preserve"> The obligation laid down in Article 3(1), point (a), should already apply from 14 months after the entry into force of this Regulation</w:t>
      </w:r>
      <w:r w:rsidR="009F41CE" w:rsidRPr="00D23F76">
        <w:t>,</w:t>
      </w:r>
      <w:r w:rsidR="0075057D" w:rsidRPr="00D23F76">
        <w:t xml:space="preserve"> </w:t>
      </w:r>
      <w:r w:rsidRPr="00D23F76">
        <w:t xml:space="preserve">to provide dealers with printed labels </w:t>
      </w:r>
      <w:proofErr w:type="gramStart"/>
      <w:r w:rsidRPr="00D23F76">
        <w:t>in order to</w:t>
      </w:r>
      <w:proofErr w:type="gramEnd"/>
      <w:r w:rsidRPr="00D23F76">
        <w:t xml:space="preserve"> allow them to comply when relevant requirements enter into application.</w:t>
      </w:r>
    </w:p>
    <w:p w14:paraId="5821694E" w14:textId="77777777" w:rsidR="00E82120" w:rsidRPr="00FE696C" w:rsidRDefault="00E82120" w:rsidP="00E82120">
      <w:pPr>
        <w:pStyle w:val="Considrant"/>
      </w:pPr>
      <w:r>
        <w:t xml:space="preserve">The measures provided for in this Regulation were discussed by the Consultation Forum </w:t>
      </w:r>
      <w:r w:rsidR="00A65165">
        <w:t xml:space="preserve">established pursuant to </w:t>
      </w:r>
      <w:r>
        <w:t>Article 14</w:t>
      </w:r>
      <w:r w:rsidR="00A65165">
        <w:t>(1)</w:t>
      </w:r>
      <w:r>
        <w:t xml:space="preserve"> of Regulation (EU) 2017/1369</w:t>
      </w:r>
      <w:r w:rsidR="00BE58B9">
        <w:t>,</w:t>
      </w:r>
    </w:p>
    <w:p w14:paraId="14D1AEE1" w14:textId="77777777" w:rsidR="00E82120" w:rsidRPr="00922C91" w:rsidRDefault="00E82120" w:rsidP="00E82120">
      <w:pPr>
        <w:pStyle w:val="Formuledadoption"/>
      </w:pPr>
      <w:r w:rsidRPr="00922C91">
        <w:lastRenderedPageBreak/>
        <w:t>HAS ADOPTED THIS REGULATION:</w:t>
      </w:r>
    </w:p>
    <w:p w14:paraId="4B2EA389" w14:textId="77777777" w:rsidR="00E82120" w:rsidRPr="00D23F76" w:rsidRDefault="00E82120" w:rsidP="00D23F76">
      <w:pPr>
        <w:pStyle w:val="Titrearticle"/>
      </w:pPr>
      <w:r w:rsidRPr="00D23F76">
        <w:t>Article 1</w:t>
      </w:r>
      <w:r w:rsidRPr="00D23F76">
        <w:br/>
      </w:r>
      <w:r w:rsidRPr="00D23F76">
        <w:rPr>
          <w:b/>
          <w:i w:val="0"/>
        </w:rPr>
        <w:t>Subject matter and scope</w:t>
      </w:r>
    </w:p>
    <w:p w14:paraId="5744A8A4" w14:textId="77777777" w:rsidR="00E82120" w:rsidRPr="00F82800" w:rsidRDefault="00E82120" w:rsidP="00E82120">
      <w:pPr>
        <w:rPr>
          <w:lang w:eastAsia="de-DE"/>
        </w:rPr>
      </w:pPr>
      <w:r w:rsidRPr="00F82800">
        <w:rPr>
          <w:lang w:eastAsia="de-DE"/>
        </w:rPr>
        <w:t>This Regulation establishes requirements for the labelling of</w:t>
      </w:r>
      <w:r w:rsidR="00EA64ED" w:rsidRPr="00EA64ED">
        <w:rPr>
          <w:lang w:eastAsia="de-DE"/>
        </w:rPr>
        <w:t xml:space="preserve"> </w:t>
      </w:r>
      <w:r w:rsidR="00EA64ED" w:rsidRPr="00F82800">
        <w:rPr>
          <w:lang w:eastAsia="de-DE"/>
        </w:rPr>
        <w:t xml:space="preserve">smartphones and </w:t>
      </w:r>
      <w:r w:rsidR="00EA64ED">
        <w:rPr>
          <w:lang w:eastAsia="de-DE"/>
        </w:rPr>
        <w:t>slate tablet</w:t>
      </w:r>
      <w:r w:rsidR="00EA64ED" w:rsidRPr="00F82800">
        <w:rPr>
          <w:lang w:eastAsia="de-DE"/>
        </w:rPr>
        <w:t>s</w:t>
      </w:r>
      <w:r w:rsidRPr="00F82800">
        <w:rPr>
          <w:lang w:eastAsia="de-DE"/>
        </w:rPr>
        <w:t xml:space="preserve">, and the provision of supplementary product information on smartphones and </w:t>
      </w:r>
      <w:r>
        <w:rPr>
          <w:lang w:eastAsia="de-DE"/>
        </w:rPr>
        <w:t>slate tablet</w:t>
      </w:r>
      <w:r w:rsidRPr="00F82800">
        <w:rPr>
          <w:lang w:eastAsia="de-DE"/>
        </w:rPr>
        <w:t>s.</w:t>
      </w:r>
    </w:p>
    <w:p w14:paraId="00068EAC" w14:textId="77777777" w:rsidR="00E82120" w:rsidRDefault="00E82120" w:rsidP="00E82120">
      <w:pPr>
        <w:spacing w:before="0"/>
      </w:pPr>
      <w:r w:rsidRPr="00042AF9">
        <w:t xml:space="preserve">This Regulation </w:t>
      </w:r>
      <w:r w:rsidR="00EA64ED">
        <w:t>does</w:t>
      </w:r>
      <w:r w:rsidR="00EA64ED" w:rsidRPr="00042AF9">
        <w:t xml:space="preserve"> </w:t>
      </w:r>
      <w:r w:rsidRPr="00042AF9">
        <w:t>not apply to the following products:</w:t>
      </w:r>
      <w:r w:rsidR="00BE58B9">
        <w:tab/>
      </w:r>
    </w:p>
    <w:p w14:paraId="169C0FF7" w14:textId="77777777" w:rsidR="00E82120" w:rsidRPr="00D23F76" w:rsidRDefault="00E82120" w:rsidP="00D23F76">
      <w:pPr>
        <w:pStyle w:val="Point1letter"/>
        <w:numPr>
          <w:ilvl w:val="3"/>
          <w:numId w:val="8"/>
        </w:numPr>
      </w:pPr>
      <w:r w:rsidRPr="00D23F76">
        <w:t xml:space="preserve">mobile phones and tablets with </w:t>
      </w:r>
      <w:r w:rsidR="00BE58B9" w:rsidRPr="00D23F76">
        <w:t xml:space="preserve">a flexible main display which the user can unroll and roll up partly or </w:t>
      </w:r>
      <w:proofErr w:type="gramStart"/>
      <w:r w:rsidR="00BE58B9" w:rsidRPr="00D23F76">
        <w:t>fully</w:t>
      </w:r>
      <w:r w:rsidRPr="00D23F76">
        <w:t>;</w:t>
      </w:r>
      <w:proofErr w:type="gramEnd"/>
    </w:p>
    <w:p w14:paraId="7C1D2209" w14:textId="77777777" w:rsidR="00E82120" w:rsidRPr="005E62D7" w:rsidRDefault="00E82120" w:rsidP="00D23F76">
      <w:pPr>
        <w:pStyle w:val="Point1letter"/>
        <w:numPr>
          <w:ilvl w:val="3"/>
          <w:numId w:val="8"/>
        </w:numPr>
      </w:pPr>
      <w:r w:rsidRPr="005E62D7">
        <w:t xml:space="preserve">smartphones designed for high security communication. </w:t>
      </w:r>
    </w:p>
    <w:p w14:paraId="04AFC0AF" w14:textId="77777777" w:rsidR="00E82120" w:rsidRPr="005E62D7" w:rsidRDefault="00E82120" w:rsidP="00E82120">
      <w:pPr>
        <w:pStyle w:val="Titrearticle"/>
      </w:pPr>
      <w:r w:rsidRPr="005E62D7">
        <w:t>Article 2</w:t>
      </w:r>
      <w:r w:rsidRPr="005E62D7">
        <w:br/>
      </w:r>
      <w:r w:rsidRPr="00D23F76">
        <w:rPr>
          <w:b/>
          <w:i w:val="0"/>
        </w:rPr>
        <w:t>Definitions</w:t>
      </w:r>
    </w:p>
    <w:p w14:paraId="657F9BF7" w14:textId="77777777" w:rsidR="00E82120" w:rsidRPr="005E62D7" w:rsidRDefault="00E82120" w:rsidP="00E76052">
      <w:pPr>
        <w:pStyle w:val="NumPar1"/>
        <w:numPr>
          <w:ilvl w:val="0"/>
          <w:numId w:val="23"/>
        </w:numPr>
      </w:pPr>
      <w:proofErr w:type="gramStart"/>
      <w:r w:rsidRPr="005E62D7">
        <w:t>For the purpose of</w:t>
      </w:r>
      <w:proofErr w:type="gramEnd"/>
      <w:r w:rsidRPr="005E62D7">
        <w:t xml:space="preserve"> this Regulation, the following definitions shall apply:</w:t>
      </w:r>
    </w:p>
    <w:p w14:paraId="6B8F3AE1" w14:textId="77777777" w:rsidR="00DB1E60" w:rsidRPr="000D173E" w:rsidRDefault="00E82120" w:rsidP="005253E6">
      <w:pPr>
        <w:pStyle w:val="Point1number"/>
        <w:numPr>
          <w:ilvl w:val="2"/>
          <w:numId w:val="21"/>
        </w:numPr>
      </w:pPr>
      <w:r w:rsidRPr="000D173E">
        <w:t>‘</w:t>
      </w:r>
      <w:proofErr w:type="gramStart"/>
      <w:r w:rsidRPr="000D173E">
        <w:t>mobile</w:t>
      </w:r>
      <w:proofErr w:type="gramEnd"/>
      <w:r w:rsidRPr="000D173E">
        <w:t xml:space="preserve"> phone’ means a cordless handheld electronic device</w:t>
      </w:r>
      <w:r w:rsidR="00DB1E60" w:rsidRPr="000D173E">
        <w:t xml:space="preserve">, which </w:t>
      </w:r>
      <w:r w:rsidR="00334438" w:rsidRPr="000D173E">
        <w:t xml:space="preserve">has the </w:t>
      </w:r>
      <w:r w:rsidR="00DB1E60" w:rsidRPr="000D173E">
        <w:t xml:space="preserve">following </w:t>
      </w:r>
      <w:r w:rsidR="00334438" w:rsidRPr="000D173E">
        <w:t>characteristics</w:t>
      </w:r>
      <w:r w:rsidR="00DB1E60" w:rsidRPr="000D173E">
        <w:t>:</w:t>
      </w:r>
      <w:r w:rsidRPr="000D173E">
        <w:t xml:space="preserve"> </w:t>
      </w:r>
    </w:p>
    <w:p w14:paraId="70D2B602" w14:textId="77777777" w:rsidR="00DB1E60" w:rsidRPr="005E62D7" w:rsidRDefault="00DB1E60" w:rsidP="00656CF7">
      <w:pPr>
        <w:pStyle w:val="Point2letter"/>
      </w:pPr>
      <w:r w:rsidRPr="005E62D7">
        <w:t xml:space="preserve">it is </w:t>
      </w:r>
      <w:r w:rsidR="00E82120" w:rsidRPr="005E62D7">
        <w:t>designed for long-range voice communication over either a cellular telecommunications network or a satellite</w:t>
      </w:r>
      <w:r w:rsidR="0036465B" w:rsidRPr="005E62D7">
        <w:t>-</w:t>
      </w:r>
      <w:r w:rsidR="00E82120" w:rsidRPr="005E62D7">
        <w:t xml:space="preserve">based telecommunications network, requiring a SIM card, </w:t>
      </w:r>
      <w:proofErr w:type="spellStart"/>
      <w:r w:rsidR="00E82120" w:rsidRPr="005E62D7">
        <w:t>eSIM</w:t>
      </w:r>
      <w:proofErr w:type="spellEnd"/>
      <w:r w:rsidR="00E82120" w:rsidRPr="005E62D7">
        <w:t xml:space="preserve"> or similar means to identify the connected </w:t>
      </w:r>
      <w:proofErr w:type="gramStart"/>
      <w:r w:rsidR="00E82120" w:rsidRPr="005E62D7">
        <w:t>parties</w:t>
      </w:r>
      <w:r w:rsidRPr="005E62D7">
        <w:t>;</w:t>
      </w:r>
      <w:proofErr w:type="gramEnd"/>
    </w:p>
    <w:p w14:paraId="5E9D56B2" w14:textId="77777777" w:rsidR="00DB1E60" w:rsidRPr="005E62D7" w:rsidRDefault="00DB1E60" w:rsidP="00656CF7">
      <w:pPr>
        <w:pStyle w:val="Point2letter"/>
      </w:pPr>
      <w:r w:rsidRPr="005E62D7">
        <w:t>i</w:t>
      </w:r>
      <w:r w:rsidR="00E82120" w:rsidRPr="005E62D7">
        <w:t xml:space="preserve">t is designed for battery mode usage, and connection to mains via an external power supply and/or wireless power transmission is mainly for battery charging </w:t>
      </w:r>
      <w:proofErr w:type="gramStart"/>
      <w:r w:rsidR="00E82120" w:rsidRPr="005E62D7">
        <w:t>purposes</w:t>
      </w:r>
      <w:r w:rsidRPr="005E62D7">
        <w:t>;</w:t>
      </w:r>
      <w:proofErr w:type="gramEnd"/>
    </w:p>
    <w:p w14:paraId="5513E120" w14:textId="1A18830E" w:rsidR="00E82120" w:rsidRPr="005E62D7" w:rsidRDefault="00DB1E60" w:rsidP="00656CF7">
      <w:pPr>
        <w:pStyle w:val="Point2letter"/>
      </w:pPr>
      <w:r w:rsidRPr="005E62D7">
        <w:t xml:space="preserve">it is not </w:t>
      </w:r>
      <w:r w:rsidR="00E82120" w:rsidRPr="005E62D7">
        <w:t>designed to be worn on the wrist</w:t>
      </w:r>
      <w:r w:rsidR="009D5F9E">
        <w:t>.</w:t>
      </w:r>
    </w:p>
    <w:p w14:paraId="76B06921" w14:textId="77777777" w:rsidR="00DB1E60" w:rsidRPr="000D173E" w:rsidRDefault="00EB3D38" w:rsidP="005253E6">
      <w:pPr>
        <w:pStyle w:val="Point1number"/>
        <w:numPr>
          <w:ilvl w:val="2"/>
          <w:numId w:val="21"/>
        </w:numPr>
      </w:pPr>
      <w:r w:rsidRPr="000D173E">
        <w:t>‘</w:t>
      </w:r>
      <w:r w:rsidR="00E82120" w:rsidRPr="000D173E">
        <w:t>smartphone’ means a mobile phone</w:t>
      </w:r>
      <w:r w:rsidR="00334438" w:rsidRPr="000D173E">
        <w:t>,</w:t>
      </w:r>
      <w:r w:rsidR="00E82120" w:rsidRPr="000D173E">
        <w:t xml:space="preserve"> </w:t>
      </w:r>
      <w:r w:rsidR="00DB1E60" w:rsidRPr="000D173E">
        <w:t xml:space="preserve">which </w:t>
      </w:r>
      <w:r w:rsidR="00334438" w:rsidRPr="000D173E">
        <w:t>has the following characteristics</w:t>
      </w:r>
      <w:r w:rsidR="00DB1E60" w:rsidRPr="000D173E">
        <w:t>:</w:t>
      </w:r>
    </w:p>
    <w:p w14:paraId="68BE1564" w14:textId="77777777" w:rsidR="00DB1E60" w:rsidRPr="005E62D7" w:rsidRDefault="00DB1E60" w:rsidP="005253E6">
      <w:pPr>
        <w:pStyle w:val="Point2letter"/>
        <w:numPr>
          <w:ilvl w:val="5"/>
          <w:numId w:val="18"/>
        </w:numPr>
      </w:pPr>
      <w:r w:rsidRPr="005E62D7">
        <w:t xml:space="preserve">it is </w:t>
      </w:r>
      <w:r w:rsidR="00E82120" w:rsidRPr="005E62D7">
        <w:t>characteri</w:t>
      </w:r>
      <w:r w:rsidRPr="005E62D7">
        <w:t>s</w:t>
      </w:r>
      <w:r w:rsidR="00E82120" w:rsidRPr="005E62D7">
        <w:t xml:space="preserve">ed by wireless network connection, mobile use of internet services, and the ability to accept original and third-party software </w:t>
      </w:r>
      <w:proofErr w:type="gramStart"/>
      <w:r w:rsidR="00E82120" w:rsidRPr="005E62D7">
        <w:t>applications</w:t>
      </w:r>
      <w:r w:rsidRPr="005E62D7">
        <w:t>;</w:t>
      </w:r>
      <w:proofErr w:type="gramEnd"/>
    </w:p>
    <w:p w14:paraId="5F4787A6" w14:textId="77777777" w:rsidR="00DB1E60" w:rsidRPr="005E62D7" w:rsidRDefault="00DB1E60" w:rsidP="00656CF7">
      <w:pPr>
        <w:pStyle w:val="Point2letter"/>
      </w:pPr>
      <w:r w:rsidRPr="005E62D7">
        <w:t xml:space="preserve">it has </w:t>
      </w:r>
      <w:r w:rsidR="00E82120" w:rsidRPr="005E62D7">
        <w:t xml:space="preserve">an integrated touch screen display with a diagonal size of 4 inches or more but less than 7 </w:t>
      </w:r>
      <w:proofErr w:type="gramStart"/>
      <w:r w:rsidR="00E82120" w:rsidRPr="005E62D7">
        <w:t>inches</w:t>
      </w:r>
      <w:r w:rsidRPr="005E62D7">
        <w:t>;</w:t>
      </w:r>
      <w:proofErr w:type="gramEnd"/>
    </w:p>
    <w:p w14:paraId="562BE1D7" w14:textId="39686B21" w:rsidR="00E82120" w:rsidRPr="005E62D7" w:rsidRDefault="00DB1E60" w:rsidP="00656CF7">
      <w:pPr>
        <w:pStyle w:val="Point2letter"/>
      </w:pPr>
      <w:r w:rsidRPr="005E62D7">
        <w:t>where the d</w:t>
      </w:r>
      <w:r w:rsidR="00E82120" w:rsidRPr="005E62D7">
        <w:t>evice</w:t>
      </w:r>
      <w:r w:rsidRPr="005E62D7">
        <w:t xml:space="preserve"> has</w:t>
      </w:r>
      <w:r w:rsidR="00E82120" w:rsidRPr="005E62D7">
        <w:t xml:space="preserve"> more than one and/or foldable displays</w:t>
      </w:r>
      <w:r w:rsidR="0082337E" w:rsidRPr="005E62D7">
        <w:t>,</w:t>
      </w:r>
      <w:r w:rsidR="00E82120" w:rsidRPr="005E62D7">
        <w:t xml:space="preserve"> at least one of the displays falls into the size range in either opened or closed mode</w:t>
      </w:r>
      <w:r w:rsidR="009D5F9E">
        <w:t>.</w:t>
      </w:r>
    </w:p>
    <w:p w14:paraId="6C83DC94" w14:textId="77777777" w:rsidR="00E82120" w:rsidRPr="000D173E" w:rsidRDefault="00E82120" w:rsidP="000D173E">
      <w:pPr>
        <w:pStyle w:val="Point1number"/>
      </w:pPr>
      <w:r w:rsidRPr="000D173E">
        <w:t>‘</w:t>
      </w:r>
      <w:proofErr w:type="gramStart"/>
      <w:r w:rsidRPr="000D173E">
        <w:t>smartphone</w:t>
      </w:r>
      <w:proofErr w:type="gramEnd"/>
      <w:r w:rsidRPr="000D173E">
        <w:t xml:space="preserve"> for high security communication’ means a smartphone</w:t>
      </w:r>
      <w:r w:rsidR="00334438" w:rsidRPr="000D173E">
        <w:t>,</w:t>
      </w:r>
      <w:r w:rsidR="00DB1E60" w:rsidRPr="000D173E">
        <w:t xml:space="preserve"> which </w:t>
      </w:r>
      <w:r w:rsidR="00334438" w:rsidRPr="000D173E">
        <w:t>has the following characteristics</w:t>
      </w:r>
      <w:r w:rsidRPr="000D173E">
        <w:t>:</w:t>
      </w:r>
    </w:p>
    <w:p w14:paraId="19B2140D" w14:textId="77777777" w:rsidR="00E82120" w:rsidRPr="00297618" w:rsidRDefault="00DB1E60" w:rsidP="005253E6">
      <w:pPr>
        <w:pStyle w:val="Point2letter"/>
        <w:numPr>
          <w:ilvl w:val="5"/>
          <w:numId w:val="19"/>
        </w:numPr>
        <w:rPr>
          <w:lang w:eastAsia="de-DE"/>
        </w:rPr>
      </w:pPr>
      <w:r w:rsidRPr="005E62D7">
        <w:rPr>
          <w:lang w:eastAsia="de-DE"/>
        </w:rPr>
        <w:t xml:space="preserve">it </w:t>
      </w:r>
      <w:r w:rsidR="00E82120" w:rsidRPr="005E62D7">
        <w:rPr>
          <w:lang w:eastAsia="de-DE"/>
        </w:rPr>
        <w:t>is accredited, or otherwise formally approved by the designated authority in a M</w:t>
      </w:r>
      <w:r w:rsidR="00E82120" w:rsidRPr="00EE1A6E">
        <w:rPr>
          <w:lang w:eastAsia="de-DE"/>
        </w:rPr>
        <w:t xml:space="preserve">ember State or </w:t>
      </w:r>
      <w:r w:rsidR="00E82120" w:rsidRPr="00AF0C69">
        <w:rPr>
          <w:lang w:eastAsia="de-DE"/>
        </w:rPr>
        <w:t xml:space="preserve">is in the process of accreditation or other formal approval to </w:t>
      </w:r>
      <w:r w:rsidR="00E82120" w:rsidRPr="00297618">
        <w:rPr>
          <w:lang w:eastAsia="de-DE"/>
        </w:rPr>
        <w:t xml:space="preserve">transmit, process or store classified </w:t>
      </w:r>
      <w:proofErr w:type="gramStart"/>
      <w:r w:rsidR="00E82120" w:rsidRPr="00297618">
        <w:rPr>
          <w:lang w:eastAsia="de-DE"/>
        </w:rPr>
        <w:t>information</w:t>
      </w:r>
      <w:r>
        <w:rPr>
          <w:lang w:eastAsia="de-DE"/>
        </w:rPr>
        <w:t>;</w:t>
      </w:r>
      <w:proofErr w:type="gramEnd"/>
      <w:r w:rsidR="00E82120" w:rsidRPr="00297618">
        <w:rPr>
          <w:lang w:eastAsia="de-DE"/>
        </w:rPr>
        <w:t xml:space="preserve"> </w:t>
      </w:r>
    </w:p>
    <w:p w14:paraId="5FB7FAFB" w14:textId="77777777" w:rsidR="00E82120" w:rsidRPr="000D173E" w:rsidRDefault="00DB1E60" w:rsidP="005253E6">
      <w:pPr>
        <w:pStyle w:val="Point2letter"/>
        <w:numPr>
          <w:ilvl w:val="5"/>
          <w:numId w:val="19"/>
        </w:numPr>
      </w:pPr>
      <w:r w:rsidRPr="000D173E">
        <w:t xml:space="preserve">it </w:t>
      </w:r>
      <w:r w:rsidR="00E82120" w:rsidRPr="000D173E">
        <w:t xml:space="preserve">is intended for professional users </w:t>
      </w:r>
      <w:proofErr w:type="gramStart"/>
      <w:r w:rsidR="00E82120" w:rsidRPr="000D173E">
        <w:t>only;</w:t>
      </w:r>
      <w:proofErr w:type="gramEnd"/>
      <w:r w:rsidR="00E82120" w:rsidRPr="000D173E">
        <w:t xml:space="preserve"> </w:t>
      </w:r>
    </w:p>
    <w:p w14:paraId="30245B3B" w14:textId="75E2AFEB" w:rsidR="00E82120" w:rsidRPr="005E62D7" w:rsidRDefault="00DB1E60" w:rsidP="005253E6">
      <w:pPr>
        <w:pStyle w:val="Point2letter"/>
        <w:numPr>
          <w:ilvl w:val="5"/>
          <w:numId w:val="19"/>
        </w:numPr>
        <w:rPr>
          <w:lang w:eastAsia="de-DE"/>
        </w:rPr>
      </w:pPr>
      <w:r>
        <w:rPr>
          <w:lang w:eastAsia="de-DE"/>
        </w:rPr>
        <w:t xml:space="preserve">it </w:t>
      </w:r>
      <w:proofErr w:type="gramStart"/>
      <w:r>
        <w:rPr>
          <w:lang w:eastAsia="de-DE"/>
        </w:rPr>
        <w:t>is</w:t>
      </w:r>
      <w:r w:rsidRPr="00EE1A6E">
        <w:rPr>
          <w:lang w:eastAsia="de-DE"/>
        </w:rPr>
        <w:t xml:space="preserve"> </w:t>
      </w:r>
      <w:r w:rsidR="00E82120" w:rsidRPr="00EE1A6E">
        <w:rPr>
          <w:lang w:eastAsia="de-DE"/>
        </w:rPr>
        <w:t>capab</w:t>
      </w:r>
      <w:r>
        <w:rPr>
          <w:lang w:eastAsia="de-DE"/>
        </w:rPr>
        <w:t xml:space="preserve">le </w:t>
      </w:r>
      <w:r w:rsidR="00E82120" w:rsidRPr="00EE1A6E">
        <w:rPr>
          <w:lang w:eastAsia="de-DE"/>
        </w:rPr>
        <w:t>of detecting</w:t>
      </w:r>
      <w:proofErr w:type="gramEnd"/>
      <w:r w:rsidR="00E82120" w:rsidRPr="00EE1A6E">
        <w:rPr>
          <w:lang w:eastAsia="de-DE"/>
        </w:rPr>
        <w:t xml:space="preserve"> physical intrusion to the hardware</w:t>
      </w:r>
      <w:r>
        <w:rPr>
          <w:lang w:eastAsia="de-DE"/>
        </w:rPr>
        <w:t>,</w:t>
      </w:r>
      <w:r w:rsidR="00E82120" w:rsidRPr="00EE1A6E">
        <w:rPr>
          <w:lang w:eastAsia="de-DE"/>
        </w:rPr>
        <w:t xml:space="preserve"> </w:t>
      </w:r>
      <w:r w:rsidR="00E82120">
        <w:rPr>
          <w:lang w:eastAsia="de-DE"/>
        </w:rPr>
        <w:t>including for</w:t>
      </w:r>
      <w:r w:rsidR="00E82120" w:rsidRPr="00EE1A6E">
        <w:rPr>
          <w:lang w:eastAsia="de-DE"/>
        </w:rPr>
        <w:t xml:space="preserve"> intrusion </w:t>
      </w:r>
      <w:r w:rsidR="00E82120">
        <w:rPr>
          <w:lang w:eastAsia="de-DE"/>
        </w:rPr>
        <w:t>detection</w:t>
      </w:r>
      <w:r w:rsidR="00E82120" w:rsidRPr="00EE1A6E">
        <w:rPr>
          <w:lang w:eastAsia="de-DE"/>
        </w:rPr>
        <w:t xml:space="preserve"> at least a controller, related wiring, </w:t>
      </w:r>
      <w:r w:rsidR="00E82120" w:rsidRPr="005E62D7">
        <w:rPr>
          <w:lang w:eastAsia="de-DE"/>
        </w:rPr>
        <w:t>flexible printed circuit board circuitry for drill protection integrated to the device chassis and integrated tamper loops on the main printed circuit board</w:t>
      </w:r>
      <w:r w:rsidR="009D5F9E">
        <w:rPr>
          <w:lang w:eastAsia="de-DE"/>
        </w:rPr>
        <w:t>.</w:t>
      </w:r>
    </w:p>
    <w:p w14:paraId="7DCCBD6C" w14:textId="44A49935" w:rsidR="00E82120" w:rsidRPr="000D173E" w:rsidRDefault="00E82120" w:rsidP="000D173E">
      <w:pPr>
        <w:pStyle w:val="Point1number"/>
      </w:pPr>
      <w:r w:rsidRPr="000D173E">
        <w:lastRenderedPageBreak/>
        <w:t>‘</w:t>
      </w:r>
      <w:proofErr w:type="gramStart"/>
      <w:r w:rsidRPr="000D173E">
        <w:t>slate</w:t>
      </w:r>
      <w:proofErr w:type="gramEnd"/>
      <w:r w:rsidRPr="000D173E">
        <w:t xml:space="preserve"> tablet’ means a device that is designed for portability and </w:t>
      </w:r>
      <w:r w:rsidR="00334438" w:rsidRPr="000D173E">
        <w:t>has the following characteristics</w:t>
      </w:r>
      <w:r w:rsidR="00BC2AA5">
        <w:rPr>
          <w:rStyle w:val="Merknadsreferanse"/>
        </w:rPr>
        <w:t>:</w:t>
      </w:r>
      <w:r w:rsidRPr="000D173E">
        <w:t xml:space="preserve"> </w:t>
      </w:r>
    </w:p>
    <w:p w14:paraId="328BD404" w14:textId="77777777" w:rsidR="00E82120" w:rsidRPr="005E62D7" w:rsidRDefault="00DB1E60" w:rsidP="005253E6">
      <w:pPr>
        <w:pStyle w:val="Point2letter"/>
        <w:numPr>
          <w:ilvl w:val="5"/>
          <w:numId w:val="20"/>
        </w:numPr>
        <w:rPr>
          <w:lang w:eastAsia="de-DE"/>
        </w:rPr>
      </w:pPr>
      <w:r w:rsidRPr="005E62D7">
        <w:rPr>
          <w:lang w:eastAsia="de-DE"/>
        </w:rPr>
        <w:t xml:space="preserve">it </w:t>
      </w:r>
      <w:r w:rsidR="00E82120" w:rsidRPr="005E62D7">
        <w:rPr>
          <w:lang w:eastAsia="de-DE"/>
        </w:rPr>
        <w:t xml:space="preserve">has an integrated touch-sensitive display with a viewable diagonal size greater than or equal to 7.0 inches and less than 17.4 </w:t>
      </w:r>
      <w:proofErr w:type="gramStart"/>
      <w:r w:rsidR="00E82120" w:rsidRPr="005E62D7">
        <w:rPr>
          <w:lang w:eastAsia="de-DE"/>
        </w:rPr>
        <w:t>inches;</w:t>
      </w:r>
      <w:proofErr w:type="gramEnd"/>
      <w:r w:rsidR="00E82120" w:rsidRPr="005E62D7">
        <w:rPr>
          <w:lang w:eastAsia="de-DE"/>
        </w:rPr>
        <w:t xml:space="preserve"> </w:t>
      </w:r>
    </w:p>
    <w:p w14:paraId="395179FE" w14:textId="77777777" w:rsidR="00E82120" w:rsidRPr="005E62D7" w:rsidRDefault="005E09A5" w:rsidP="005253E6">
      <w:pPr>
        <w:pStyle w:val="Point2letter"/>
        <w:numPr>
          <w:ilvl w:val="5"/>
          <w:numId w:val="20"/>
        </w:numPr>
        <w:rPr>
          <w:lang w:eastAsia="de-DE"/>
        </w:rPr>
      </w:pPr>
      <w:r w:rsidRPr="005E62D7">
        <w:rPr>
          <w:lang w:eastAsia="de-DE"/>
        </w:rPr>
        <w:t xml:space="preserve">it </w:t>
      </w:r>
      <w:r w:rsidR="00E82120" w:rsidRPr="005E62D7">
        <w:rPr>
          <w:lang w:eastAsia="de-DE"/>
        </w:rPr>
        <w:t xml:space="preserve">does not have an integrated, physically attached keyboard in its designed </w:t>
      </w:r>
      <w:proofErr w:type="gramStart"/>
      <w:r w:rsidR="00E82120" w:rsidRPr="005E62D7">
        <w:rPr>
          <w:lang w:eastAsia="de-DE"/>
        </w:rPr>
        <w:t>configuration;</w:t>
      </w:r>
      <w:proofErr w:type="gramEnd"/>
      <w:r w:rsidR="00E82120" w:rsidRPr="005E62D7">
        <w:rPr>
          <w:lang w:eastAsia="de-DE"/>
        </w:rPr>
        <w:t xml:space="preserve"> </w:t>
      </w:r>
    </w:p>
    <w:p w14:paraId="05C1C544" w14:textId="77777777" w:rsidR="00E82120" w:rsidRPr="005E62D7" w:rsidRDefault="005E09A5" w:rsidP="005253E6">
      <w:pPr>
        <w:pStyle w:val="Point2letter"/>
        <w:numPr>
          <w:ilvl w:val="5"/>
          <w:numId w:val="20"/>
        </w:numPr>
        <w:rPr>
          <w:lang w:eastAsia="de-DE"/>
        </w:rPr>
      </w:pPr>
      <w:r w:rsidRPr="005E62D7">
        <w:rPr>
          <w:lang w:eastAsia="de-DE"/>
        </w:rPr>
        <w:t xml:space="preserve">it </w:t>
      </w:r>
      <w:r w:rsidR="00E82120" w:rsidRPr="005E62D7">
        <w:rPr>
          <w:lang w:eastAsia="de-DE"/>
        </w:rPr>
        <w:t xml:space="preserve">primarily relies on a wireless network </w:t>
      </w:r>
      <w:proofErr w:type="gramStart"/>
      <w:r w:rsidR="00E82120" w:rsidRPr="005E62D7">
        <w:rPr>
          <w:lang w:eastAsia="de-DE"/>
        </w:rPr>
        <w:t>connection;</w:t>
      </w:r>
      <w:proofErr w:type="gramEnd"/>
    </w:p>
    <w:p w14:paraId="75B979D2" w14:textId="77777777" w:rsidR="00E82120" w:rsidRPr="005E62D7" w:rsidRDefault="0082337E" w:rsidP="005253E6">
      <w:pPr>
        <w:pStyle w:val="Point2letter"/>
        <w:numPr>
          <w:ilvl w:val="5"/>
          <w:numId w:val="20"/>
        </w:numPr>
        <w:rPr>
          <w:lang w:eastAsia="de-DE"/>
        </w:rPr>
      </w:pPr>
      <w:r w:rsidRPr="005E62D7">
        <w:rPr>
          <w:lang w:eastAsia="de-DE"/>
        </w:rPr>
        <w:t xml:space="preserve">it </w:t>
      </w:r>
      <w:r w:rsidR="00E82120" w:rsidRPr="005E62D7">
        <w:rPr>
          <w:lang w:eastAsia="de-DE"/>
        </w:rPr>
        <w:t>is powered by an internal battery and is not intended to work without battery; and</w:t>
      </w:r>
    </w:p>
    <w:p w14:paraId="67836F5D" w14:textId="1483CFE5" w:rsidR="000D173E" w:rsidRDefault="005E09A5" w:rsidP="00BD6AA0">
      <w:pPr>
        <w:pStyle w:val="Point2letter"/>
        <w:rPr>
          <w:lang w:eastAsia="de-DE"/>
        </w:rPr>
      </w:pPr>
      <w:r w:rsidRPr="005E62D7">
        <w:rPr>
          <w:lang w:eastAsia="de-DE"/>
        </w:rPr>
        <w:t xml:space="preserve">it </w:t>
      </w:r>
      <w:r w:rsidR="00E82120" w:rsidRPr="005E62D7">
        <w:rPr>
          <w:lang w:eastAsia="de-DE"/>
        </w:rPr>
        <w:t>is placed on the market with an operating system designed for mobile platforms, identical or analogous to smartphones</w:t>
      </w:r>
      <w:r w:rsidR="009D5F9E">
        <w:rPr>
          <w:lang w:eastAsia="de-DE"/>
        </w:rPr>
        <w:t>.</w:t>
      </w:r>
    </w:p>
    <w:p w14:paraId="38542937" w14:textId="77777777" w:rsidR="00F15F45" w:rsidRPr="005E62D7" w:rsidRDefault="00E82120" w:rsidP="000D173E">
      <w:pPr>
        <w:pStyle w:val="Point1number"/>
        <w:rPr>
          <w:lang w:eastAsia="en-GB"/>
        </w:rPr>
      </w:pPr>
      <w:r w:rsidRPr="005E62D7">
        <w:rPr>
          <w:lang w:eastAsia="de-DE"/>
        </w:rPr>
        <w:t>‘</w:t>
      </w:r>
      <w:proofErr w:type="gramStart"/>
      <w:r w:rsidRPr="005E62D7">
        <w:rPr>
          <w:lang w:eastAsia="de-DE"/>
        </w:rPr>
        <w:t>point</w:t>
      </w:r>
      <w:proofErr w:type="gramEnd"/>
      <w:r w:rsidRPr="005E62D7">
        <w:rPr>
          <w:lang w:eastAsia="de-DE"/>
        </w:rPr>
        <w:t xml:space="preserve"> of sale’ means a location where smartphone or slate tablet units are displayed or offered for sale, hire or hire-purchase.</w:t>
      </w:r>
    </w:p>
    <w:p w14:paraId="0FBDE213" w14:textId="77777777" w:rsidR="00E82120" w:rsidRPr="005E62D7" w:rsidRDefault="00E82120" w:rsidP="000D173E">
      <w:pPr>
        <w:pStyle w:val="NumPar1"/>
      </w:pPr>
      <w:r w:rsidRPr="005E62D7">
        <w:t>For the purposes of Annexes</w:t>
      </w:r>
      <w:r w:rsidR="00334438">
        <w:t xml:space="preserve"> II to IX</w:t>
      </w:r>
      <w:r w:rsidRPr="005E62D7">
        <w:t>,</w:t>
      </w:r>
      <w:r w:rsidR="00F15F45" w:rsidRPr="005E62D7">
        <w:t xml:space="preserve"> the</w:t>
      </w:r>
      <w:r w:rsidRPr="005E62D7">
        <w:t xml:space="preserve"> definitions set out in Annex I</w:t>
      </w:r>
      <w:r w:rsidR="00F15F45" w:rsidRPr="005E62D7">
        <w:t xml:space="preserve"> shall apply</w:t>
      </w:r>
      <w:r w:rsidRPr="005E62D7">
        <w:t>.</w:t>
      </w:r>
    </w:p>
    <w:p w14:paraId="0296A422" w14:textId="77777777" w:rsidR="00E82120" w:rsidRPr="00D23F76" w:rsidRDefault="00E82120" w:rsidP="00E82120">
      <w:pPr>
        <w:pStyle w:val="Titrearticle"/>
        <w:rPr>
          <w:lang w:eastAsia="de-DE"/>
        </w:rPr>
      </w:pPr>
      <w:r w:rsidRPr="00D23F76">
        <w:rPr>
          <w:lang w:eastAsia="de-DE"/>
        </w:rPr>
        <w:t>Article</w:t>
      </w:r>
      <w:r w:rsidRPr="00D23F76">
        <w:t xml:space="preserve"> 3</w:t>
      </w:r>
      <w:r w:rsidRPr="00D23F76">
        <w:br/>
      </w:r>
      <w:r w:rsidRPr="00D23F76">
        <w:rPr>
          <w:b/>
          <w:i w:val="0"/>
        </w:rPr>
        <w:t>Obligations of suppliers</w:t>
      </w:r>
    </w:p>
    <w:p w14:paraId="68236CCA" w14:textId="77777777" w:rsidR="00E82120" w:rsidRPr="005E62D7" w:rsidRDefault="00E82120" w:rsidP="004742AC">
      <w:pPr>
        <w:pStyle w:val="NumPar1"/>
        <w:numPr>
          <w:ilvl w:val="0"/>
          <w:numId w:val="9"/>
        </w:numPr>
        <w:rPr>
          <w:lang w:eastAsia="de-DE"/>
        </w:rPr>
      </w:pPr>
      <w:r w:rsidRPr="7586FA55">
        <w:rPr>
          <w:lang w:eastAsia="de-DE"/>
        </w:rPr>
        <w:t>Suppliers shall ensure that:</w:t>
      </w:r>
    </w:p>
    <w:p w14:paraId="32116351" w14:textId="77777777" w:rsidR="00E82120" w:rsidRPr="000D173E" w:rsidRDefault="00E82120" w:rsidP="005253E6">
      <w:pPr>
        <w:pStyle w:val="Point2letter"/>
        <w:numPr>
          <w:ilvl w:val="5"/>
          <w:numId w:val="22"/>
        </w:numPr>
      </w:pPr>
      <w:r w:rsidRPr="000D173E">
        <w:t>each smartphone or slate tablet is supplied with a printed label in the format as set out in Annex </w:t>
      </w:r>
      <w:proofErr w:type="gramStart"/>
      <w:r w:rsidRPr="000D173E">
        <w:t>III;</w:t>
      </w:r>
      <w:proofErr w:type="gramEnd"/>
    </w:p>
    <w:p w14:paraId="601BF46A" w14:textId="77777777" w:rsidR="00E82120" w:rsidRPr="005E62D7" w:rsidRDefault="00E82120" w:rsidP="00E82120">
      <w:pPr>
        <w:pStyle w:val="Point2letter"/>
        <w:rPr>
          <w:lang w:eastAsia="de-DE"/>
        </w:rPr>
      </w:pPr>
      <w:r w:rsidRPr="005E62D7">
        <w:rPr>
          <w:lang w:eastAsia="de-DE"/>
        </w:rPr>
        <w:t xml:space="preserve">the values of the parameters of the product information sheet, as set out in Annex V, are entered into the public part of the product </w:t>
      </w:r>
      <w:proofErr w:type="gramStart"/>
      <w:r w:rsidRPr="005E62D7">
        <w:rPr>
          <w:lang w:eastAsia="de-DE"/>
        </w:rPr>
        <w:t>database;</w:t>
      </w:r>
      <w:proofErr w:type="gramEnd"/>
    </w:p>
    <w:p w14:paraId="2B7C661E" w14:textId="77777777" w:rsidR="00E82120" w:rsidRPr="005E62D7" w:rsidRDefault="009D3BFD" w:rsidP="00E82120">
      <w:pPr>
        <w:pStyle w:val="Point2letter"/>
        <w:rPr>
          <w:lang w:eastAsia="de-DE"/>
        </w:rPr>
      </w:pPr>
      <w:r w:rsidRPr="005E62D7">
        <w:rPr>
          <w:lang w:eastAsia="de-DE"/>
        </w:rPr>
        <w:t xml:space="preserve">where </w:t>
      </w:r>
      <w:r w:rsidR="00E82120" w:rsidRPr="005E62D7">
        <w:rPr>
          <w:lang w:eastAsia="de-DE"/>
        </w:rPr>
        <w:t xml:space="preserve">specifically requested by the dealer, the product information sheet </w:t>
      </w:r>
      <w:r w:rsidRPr="005E62D7">
        <w:rPr>
          <w:lang w:eastAsia="de-DE"/>
        </w:rPr>
        <w:t>is</w:t>
      </w:r>
      <w:r w:rsidR="00E82120" w:rsidRPr="005E62D7">
        <w:rPr>
          <w:lang w:eastAsia="de-DE"/>
        </w:rPr>
        <w:t xml:space="preserve"> made available in printed </w:t>
      </w:r>
      <w:proofErr w:type="gramStart"/>
      <w:r w:rsidR="00E82120" w:rsidRPr="005E62D7">
        <w:rPr>
          <w:lang w:eastAsia="de-DE"/>
        </w:rPr>
        <w:t>form;</w:t>
      </w:r>
      <w:proofErr w:type="gramEnd"/>
    </w:p>
    <w:p w14:paraId="5E665E0B" w14:textId="77777777" w:rsidR="00E82120" w:rsidRPr="009565B9" w:rsidRDefault="00E82120" w:rsidP="00E82120">
      <w:pPr>
        <w:pStyle w:val="Point2letter"/>
        <w:rPr>
          <w:lang w:eastAsia="de-DE"/>
        </w:rPr>
      </w:pPr>
      <w:r w:rsidRPr="005E62D7">
        <w:rPr>
          <w:lang w:eastAsia="de-DE"/>
        </w:rPr>
        <w:t>the content of the technical documentation</w:t>
      </w:r>
      <w:r w:rsidRPr="009565B9">
        <w:rPr>
          <w:lang w:eastAsia="de-DE"/>
        </w:rPr>
        <w:t xml:space="preserve">, </w:t>
      </w:r>
      <w:r w:rsidR="00F15F45">
        <w:rPr>
          <w:lang w:eastAsia="de-DE"/>
        </w:rPr>
        <w:t xml:space="preserve">as </w:t>
      </w:r>
      <w:r w:rsidRPr="009565B9">
        <w:rPr>
          <w:lang w:eastAsia="de-DE"/>
        </w:rPr>
        <w:t xml:space="preserve">set out in Annex VI, is entered into the product </w:t>
      </w:r>
      <w:proofErr w:type="gramStart"/>
      <w:r w:rsidRPr="009565B9">
        <w:rPr>
          <w:lang w:eastAsia="de-DE"/>
        </w:rPr>
        <w:t>database;</w:t>
      </w:r>
      <w:proofErr w:type="gramEnd"/>
    </w:p>
    <w:p w14:paraId="1832C156" w14:textId="77777777" w:rsidR="00E82120" w:rsidRPr="009565B9" w:rsidRDefault="00E82120" w:rsidP="00E82120">
      <w:pPr>
        <w:pStyle w:val="Point2letter"/>
        <w:rPr>
          <w:lang w:eastAsia="de-DE"/>
        </w:rPr>
      </w:pPr>
      <w:r w:rsidRPr="009565B9">
        <w:rPr>
          <w:lang w:eastAsia="de-DE"/>
        </w:rPr>
        <w:t xml:space="preserve">any visual advertisement for a specific model of smartphones and </w:t>
      </w:r>
      <w:r>
        <w:rPr>
          <w:lang w:eastAsia="de-DE"/>
        </w:rPr>
        <w:t>slate tablet</w:t>
      </w:r>
      <w:r w:rsidRPr="009565B9">
        <w:rPr>
          <w:lang w:eastAsia="de-DE"/>
        </w:rPr>
        <w:t>s contains the energy efficiency class</w:t>
      </w:r>
      <w:r w:rsidRPr="009565B9">
        <w:t xml:space="preserve"> </w:t>
      </w:r>
      <w:r w:rsidRPr="009565B9">
        <w:rPr>
          <w:lang w:eastAsia="de-DE"/>
        </w:rPr>
        <w:t>and the range of energy efficiency classes available on the label in accordance with Annex</w:t>
      </w:r>
      <w:r w:rsidR="002C331C">
        <w:rPr>
          <w:lang w:eastAsia="de-DE"/>
        </w:rPr>
        <w:t>es</w:t>
      </w:r>
      <w:r w:rsidRPr="009565B9">
        <w:rPr>
          <w:lang w:eastAsia="de-DE"/>
        </w:rPr>
        <w:t xml:space="preserve"> VII and </w:t>
      </w:r>
      <w:proofErr w:type="gramStart"/>
      <w:r w:rsidRPr="009565B9">
        <w:rPr>
          <w:lang w:eastAsia="de-DE"/>
        </w:rPr>
        <w:t>VIII;</w:t>
      </w:r>
      <w:proofErr w:type="gramEnd"/>
    </w:p>
    <w:p w14:paraId="6E2FC4F3" w14:textId="77777777" w:rsidR="00E82120" w:rsidRPr="009565B9" w:rsidRDefault="00E82120" w:rsidP="00E82120">
      <w:pPr>
        <w:pStyle w:val="Point2letter"/>
        <w:rPr>
          <w:lang w:eastAsia="de-DE"/>
        </w:rPr>
      </w:pPr>
      <w:r w:rsidRPr="009565B9">
        <w:rPr>
          <w:lang w:eastAsia="de-DE"/>
        </w:rPr>
        <w:t xml:space="preserve">any technical promotional material concerning a specific model of smartphones and </w:t>
      </w:r>
      <w:r>
        <w:rPr>
          <w:lang w:eastAsia="de-DE"/>
        </w:rPr>
        <w:t>slate tablet</w:t>
      </w:r>
      <w:r w:rsidRPr="009565B9">
        <w:rPr>
          <w:lang w:eastAsia="de-DE"/>
        </w:rPr>
        <w:t>s, including technical promotional material on the internet, which describes its specific technical parameters includes the energy efficiency class of that model and the range of energy efficiency classes available on the label, in accordance with Annex </w:t>
      </w:r>
      <w:proofErr w:type="gramStart"/>
      <w:r w:rsidRPr="009565B9">
        <w:rPr>
          <w:lang w:eastAsia="de-DE"/>
        </w:rPr>
        <w:t>VII;</w:t>
      </w:r>
      <w:proofErr w:type="gramEnd"/>
    </w:p>
    <w:p w14:paraId="39A38DC5" w14:textId="77777777" w:rsidR="00E82120" w:rsidRPr="009565B9" w:rsidRDefault="00E82120" w:rsidP="00E82120">
      <w:pPr>
        <w:pStyle w:val="Point2letter"/>
        <w:rPr>
          <w:lang w:eastAsia="de-DE"/>
        </w:rPr>
      </w:pPr>
      <w:r w:rsidRPr="009565B9">
        <w:rPr>
          <w:lang w:eastAsia="de-DE"/>
        </w:rPr>
        <w:t xml:space="preserve">an electronic label in the format and containing the information, as set out in Annex III, is made available to dealers for each smartphone or </w:t>
      </w:r>
      <w:r>
        <w:rPr>
          <w:lang w:eastAsia="de-DE"/>
        </w:rPr>
        <w:t>slate tablet</w:t>
      </w:r>
      <w:r w:rsidRPr="009565B9">
        <w:rPr>
          <w:lang w:eastAsia="de-DE"/>
        </w:rPr>
        <w:t xml:space="preserve"> </w:t>
      </w:r>
      <w:proofErr w:type="gramStart"/>
      <w:r w:rsidRPr="009565B9">
        <w:rPr>
          <w:lang w:eastAsia="de-DE"/>
        </w:rPr>
        <w:t>model;</w:t>
      </w:r>
      <w:proofErr w:type="gramEnd"/>
    </w:p>
    <w:p w14:paraId="5282A332" w14:textId="77777777" w:rsidR="00E82120" w:rsidRPr="00E64917" w:rsidRDefault="00E82120" w:rsidP="00E82120">
      <w:pPr>
        <w:pStyle w:val="Point2letter"/>
        <w:rPr>
          <w:lang w:eastAsia="de-DE"/>
        </w:rPr>
      </w:pPr>
      <w:r w:rsidRPr="009565B9">
        <w:rPr>
          <w:lang w:eastAsia="de-DE"/>
        </w:rPr>
        <w:t xml:space="preserve">an electronic product information sheet, as set out in Annex V, is made available to dealers for each smartphone and </w:t>
      </w:r>
      <w:r>
        <w:rPr>
          <w:lang w:eastAsia="de-DE"/>
        </w:rPr>
        <w:t>slate tablet</w:t>
      </w:r>
      <w:r w:rsidRPr="009565B9">
        <w:rPr>
          <w:lang w:eastAsia="de-DE"/>
        </w:rPr>
        <w:t xml:space="preserve"> model.</w:t>
      </w:r>
    </w:p>
    <w:p w14:paraId="78BB8CD4" w14:textId="77777777" w:rsidR="00E82120" w:rsidRPr="00E64917" w:rsidRDefault="00E82120" w:rsidP="00E82120">
      <w:pPr>
        <w:pStyle w:val="NumPar1"/>
        <w:rPr>
          <w:lang w:eastAsia="de-DE"/>
        </w:rPr>
      </w:pPr>
      <w:r>
        <w:rPr>
          <w:lang w:eastAsia="de-DE"/>
        </w:rPr>
        <w:t>T</w:t>
      </w:r>
      <w:r w:rsidRPr="00E64917">
        <w:rPr>
          <w:lang w:eastAsia="de-DE"/>
        </w:rPr>
        <w:t xml:space="preserve">he energy efficiency class and the repeated free fall reliability class </w:t>
      </w:r>
      <w:r w:rsidR="00570B6B" w:rsidRPr="008072BC">
        <w:rPr>
          <w:lang w:eastAsia="de-DE"/>
        </w:rPr>
        <w:t>as</w:t>
      </w:r>
      <w:r w:rsidRPr="00E64917">
        <w:rPr>
          <w:lang w:eastAsia="de-DE"/>
        </w:rPr>
        <w:t xml:space="preserve"> </w:t>
      </w:r>
      <w:r w:rsidR="008072BC">
        <w:rPr>
          <w:lang w:eastAsia="de-DE"/>
        </w:rPr>
        <w:t>set out</w:t>
      </w:r>
      <w:r w:rsidR="008072BC" w:rsidRPr="00E64917">
        <w:rPr>
          <w:lang w:eastAsia="de-DE"/>
        </w:rPr>
        <w:t xml:space="preserve"> </w:t>
      </w:r>
      <w:r w:rsidRPr="00E64917">
        <w:rPr>
          <w:lang w:eastAsia="de-DE"/>
        </w:rPr>
        <w:t>in Annex II shall be calculated in accordance with Annex IV.</w:t>
      </w:r>
    </w:p>
    <w:p w14:paraId="4E168EC9" w14:textId="77777777" w:rsidR="00E82120" w:rsidRPr="009565B9" w:rsidRDefault="00E82120" w:rsidP="00E82120">
      <w:pPr>
        <w:pStyle w:val="Titrearticle"/>
        <w:rPr>
          <w:lang w:eastAsia="de-DE"/>
        </w:rPr>
      </w:pPr>
      <w:r w:rsidRPr="009565B9">
        <w:lastRenderedPageBreak/>
        <w:t>Article 4</w:t>
      </w:r>
      <w:r w:rsidRPr="009565B9">
        <w:br/>
      </w:r>
      <w:r w:rsidRPr="00D23F76">
        <w:rPr>
          <w:b/>
          <w:i w:val="0"/>
        </w:rPr>
        <w:t>Obligations of dealers</w:t>
      </w:r>
    </w:p>
    <w:p w14:paraId="527092E7" w14:textId="77777777" w:rsidR="00E82120" w:rsidRPr="00A83FC9" w:rsidRDefault="00E82120" w:rsidP="00E82120">
      <w:pPr>
        <w:rPr>
          <w:lang w:eastAsia="de-DE"/>
        </w:rPr>
      </w:pPr>
      <w:r w:rsidRPr="7586FA55">
        <w:rPr>
          <w:lang w:eastAsia="de-DE"/>
        </w:rPr>
        <w:t xml:space="preserve">Dealers shall ensure </w:t>
      </w:r>
      <w:proofErr w:type="gramStart"/>
      <w:r w:rsidRPr="7586FA55">
        <w:rPr>
          <w:lang w:eastAsia="de-DE"/>
        </w:rPr>
        <w:t>that</w:t>
      </w:r>
      <w:r w:rsidR="00692B9A" w:rsidRPr="7586FA55">
        <w:rPr>
          <w:lang w:eastAsia="de-DE"/>
        </w:rPr>
        <w:t xml:space="preserve"> </w:t>
      </w:r>
      <w:r w:rsidRPr="7586FA55">
        <w:rPr>
          <w:lang w:eastAsia="de-DE"/>
        </w:rPr>
        <w:t>:</w:t>
      </w:r>
      <w:proofErr w:type="gramEnd"/>
    </w:p>
    <w:p w14:paraId="43C0989C" w14:textId="77777777" w:rsidR="00E82120" w:rsidRPr="00E64917" w:rsidRDefault="00E82120" w:rsidP="004742AC">
      <w:pPr>
        <w:pStyle w:val="Point1letter"/>
        <w:numPr>
          <w:ilvl w:val="3"/>
          <w:numId w:val="5"/>
        </w:numPr>
      </w:pPr>
      <w:r w:rsidRPr="00E64917">
        <w:t>each smartphone and slate tablet, at the point of sale, including at trade fairs, bears the label provided by suppliers in accordance with Article 3</w:t>
      </w:r>
      <w:r w:rsidR="000B0987">
        <w:t>(1), point (a)</w:t>
      </w:r>
      <w:r w:rsidRPr="00E64917">
        <w:t xml:space="preserve">, with the label or the energy class being </w:t>
      </w:r>
      <w:r w:rsidRPr="00656CF7">
        <w:t>displayed in such a way as to be clearly visible and unequivocally associated</w:t>
      </w:r>
      <w:r w:rsidRPr="00E64917">
        <w:t xml:space="preserve"> to the specific </w:t>
      </w:r>
      <w:proofErr w:type="gramStart"/>
      <w:r w:rsidRPr="00E64917">
        <w:t>model;</w:t>
      </w:r>
      <w:proofErr w:type="gramEnd"/>
    </w:p>
    <w:p w14:paraId="4EAB79B4" w14:textId="77777777" w:rsidR="00E82120" w:rsidRPr="00E64917" w:rsidRDefault="00E82120" w:rsidP="004742AC">
      <w:pPr>
        <w:pStyle w:val="Point1letter"/>
        <w:numPr>
          <w:ilvl w:val="3"/>
          <w:numId w:val="17"/>
        </w:numPr>
      </w:pPr>
      <w:r w:rsidRPr="00E64917">
        <w:t xml:space="preserve">in the event of distance selling, the label and product information sheet are provided in accordance with Annexes VII and </w:t>
      </w:r>
      <w:proofErr w:type="gramStart"/>
      <w:r w:rsidRPr="00E64917">
        <w:t>VIII;</w:t>
      </w:r>
      <w:proofErr w:type="gramEnd"/>
    </w:p>
    <w:p w14:paraId="2368D0D9" w14:textId="77777777" w:rsidR="00E82120" w:rsidRPr="00E64917" w:rsidRDefault="00E82120" w:rsidP="004742AC">
      <w:pPr>
        <w:pStyle w:val="Point1letter"/>
        <w:numPr>
          <w:ilvl w:val="3"/>
          <w:numId w:val="17"/>
        </w:numPr>
      </w:pPr>
      <w:r w:rsidRPr="00E64917">
        <w:t>any visual advertisement for a specific model of smartphones or slate tablets, including on the internet, contains the energy efficiency class and the range of energy efficiency classes available on the label, in accordance with Annex </w:t>
      </w:r>
      <w:proofErr w:type="gramStart"/>
      <w:r w:rsidRPr="00E64917">
        <w:t>VII;</w:t>
      </w:r>
      <w:proofErr w:type="gramEnd"/>
    </w:p>
    <w:p w14:paraId="0720E23D" w14:textId="77777777" w:rsidR="00E82120" w:rsidRPr="00E64917" w:rsidRDefault="00E82120" w:rsidP="004742AC">
      <w:pPr>
        <w:pStyle w:val="Point1letter"/>
        <w:numPr>
          <w:ilvl w:val="3"/>
          <w:numId w:val="5"/>
        </w:numPr>
      </w:pPr>
      <w:r w:rsidRPr="00E64917">
        <w:t>any technical promotional material concerning a specific model of smartphone or slate tablet, including technical promotional material on the internet, which describes its specific technical parameters includes the energy efficiency class of that model and the range of energy efficiency classes available on the label, in accordance with Annex VII.</w:t>
      </w:r>
    </w:p>
    <w:p w14:paraId="1393E3A1" w14:textId="77777777" w:rsidR="00E82120" w:rsidRPr="00DE1C67" w:rsidRDefault="00E82120" w:rsidP="00E82120">
      <w:pPr>
        <w:pStyle w:val="Titrearticle"/>
        <w:rPr>
          <w:lang w:eastAsia="de-DE"/>
        </w:rPr>
      </w:pPr>
      <w:r w:rsidRPr="00DE1C67">
        <w:rPr>
          <w:lang w:eastAsia="de-DE"/>
        </w:rPr>
        <w:t>Article</w:t>
      </w:r>
      <w:r w:rsidRPr="00DE1C67">
        <w:t xml:space="preserve"> </w:t>
      </w:r>
      <w:r w:rsidR="00541B41">
        <w:t>5</w:t>
      </w:r>
      <w:r w:rsidRPr="00DE1C67">
        <w:br/>
      </w:r>
      <w:r w:rsidRPr="00D23F76">
        <w:rPr>
          <w:b/>
          <w:i w:val="0"/>
        </w:rPr>
        <w:t>Measurement methods</w:t>
      </w:r>
    </w:p>
    <w:p w14:paraId="2B904412" w14:textId="77777777" w:rsidR="00E82120" w:rsidRPr="00E64917" w:rsidRDefault="6E8299C1" w:rsidP="00E82120">
      <w:pPr>
        <w:rPr>
          <w:lang w:eastAsia="de-DE"/>
        </w:rPr>
      </w:pPr>
      <w:r w:rsidRPr="3827E89C">
        <w:rPr>
          <w:lang w:eastAsia="de-DE"/>
        </w:rPr>
        <w:t xml:space="preserve">The information to be provided pursuant to Articles 3 and 4 shall be obtained by reliable, accurate and reproducible measurement and calculation methods, which </w:t>
      </w:r>
      <w:proofErr w:type="gramStart"/>
      <w:r w:rsidRPr="3827E89C">
        <w:rPr>
          <w:lang w:eastAsia="de-DE"/>
        </w:rPr>
        <w:t>take into account</w:t>
      </w:r>
      <w:proofErr w:type="gramEnd"/>
      <w:r w:rsidRPr="3827E89C">
        <w:rPr>
          <w:lang w:eastAsia="de-DE"/>
        </w:rPr>
        <w:t xml:space="preserve"> the </w:t>
      </w:r>
      <w:r w:rsidR="00E82120" w:rsidRPr="3827E89C">
        <w:rPr>
          <w:lang w:eastAsia="de-DE"/>
        </w:rPr>
        <w:t xml:space="preserve">recognised state-of-the-art </w:t>
      </w:r>
      <w:r w:rsidRPr="3827E89C">
        <w:rPr>
          <w:lang w:eastAsia="de-DE"/>
        </w:rPr>
        <w:t>measurement and calculation methods, asset out in Annex IV.</w:t>
      </w:r>
    </w:p>
    <w:p w14:paraId="5890434D" w14:textId="77777777" w:rsidR="00E82120" w:rsidRPr="00656CF7" w:rsidRDefault="00E82120" w:rsidP="00E82120">
      <w:pPr>
        <w:pStyle w:val="Titrearticle"/>
        <w:rPr>
          <w:b/>
          <w:i w:val="0"/>
          <w:lang w:eastAsia="de-DE"/>
        </w:rPr>
      </w:pPr>
      <w:r w:rsidRPr="00CA52E0">
        <w:t xml:space="preserve">Article </w:t>
      </w:r>
      <w:r w:rsidR="00541B41">
        <w:t>6</w:t>
      </w:r>
      <w:r w:rsidRPr="00CA52E0">
        <w:br/>
      </w:r>
      <w:r w:rsidRPr="00D23F76">
        <w:rPr>
          <w:b/>
          <w:i w:val="0"/>
        </w:rPr>
        <w:t>Verification procedure for market surveillance purposes</w:t>
      </w:r>
    </w:p>
    <w:p w14:paraId="3172B5DE" w14:textId="77777777" w:rsidR="00E82120" w:rsidRPr="00CA52E0" w:rsidRDefault="00E82120" w:rsidP="00E82120">
      <w:r w:rsidRPr="00CA52E0">
        <w:t>Member States shall apply the verification procedure laid down in Annex IX when performing the market surveillance checks referred to in Article 8</w:t>
      </w:r>
      <w:r w:rsidR="00AE09E7">
        <w:t>(3)</w:t>
      </w:r>
      <w:r w:rsidRPr="00CA52E0">
        <w:t xml:space="preserve"> of Regulation (EU) 2017/1369.</w:t>
      </w:r>
    </w:p>
    <w:p w14:paraId="18B7D7C6" w14:textId="77777777" w:rsidR="00E82120" w:rsidRPr="00CA52E0" w:rsidRDefault="00E82120" w:rsidP="00E82120">
      <w:pPr>
        <w:pStyle w:val="Titrearticle"/>
        <w:rPr>
          <w:lang w:eastAsia="de-DE"/>
        </w:rPr>
      </w:pPr>
      <w:r w:rsidRPr="00CA52E0">
        <w:t xml:space="preserve">Article </w:t>
      </w:r>
      <w:r w:rsidR="00541B41">
        <w:t>7</w:t>
      </w:r>
      <w:r w:rsidRPr="00CA52E0">
        <w:br/>
      </w:r>
      <w:r w:rsidRPr="00D23F76">
        <w:rPr>
          <w:b/>
          <w:i w:val="0"/>
        </w:rPr>
        <w:t>Review</w:t>
      </w:r>
    </w:p>
    <w:p w14:paraId="5FDD7D67" w14:textId="34E44EAC" w:rsidR="00E82120" w:rsidRPr="007E695F" w:rsidRDefault="00E82120" w:rsidP="00E82120">
      <w:pPr>
        <w:spacing w:before="100" w:beforeAutospacing="1" w:after="100" w:afterAutospacing="1"/>
        <w:rPr>
          <w:sz w:val="22"/>
          <w:lang w:eastAsia="de-DE"/>
        </w:rPr>
      </w:pPr>
      <w:r w:rsidRPr="00E64917">
        <w:t xml:space="preserve">The Commission shall review this Regulation in the light of technological progress and </w:t>
      </w:r>
      <w:r w:rsidRPr="007E695F">
        <w:t>present the results of this assessment</w:t>
      </w:r>
      <w:r w:rsidR="00C0641E">
        <w:t xml:space="preserve"> </w:t>
      </w:r>
      <w:r w:rsidRPr="007E695F">
        <w:t xml:space="preserve">to the Consultation Forum </w:t>
      </w:r>
      <w:r w:rsidR="00014981" w:rsidRPr="00014981">
        <w:t>established pursuant to Article 14(1) of Regulation (EU) 2017/1369</w:t>
      </w:r>
      <w:r w:rsidR="00014981">
        <w:t xml:space="preserve">, </w:t>
      </w:r>
      <w:r w:rsidRPr="007E695F">
        <w:t>no later</w:t>
      </w:r>
      <w:r w:rsidRPr="007E695F">
        <w:rPr>
          <w:sz w:val="22"/>
          <w:lang w:eastAsia="de-DE"/>
        </w:rPr>
        <w:t xml:space="preserve"> </w:t>
      </w:r>
      <w:r w:rsidR="00014981">
        <w:rPr>
          <w:i/>
          <w:sz w:val="22"/>
          <w:lang w:eastAsia="de-DE"/>
        </w:rPr>
        <w:t xml:space="preserve">than </w:t>
      </w:r>
      <w:r w:rsidRPr="007E695F">
        <w:rPr>
          <w:i/>
          <w:sz w:val="22"/>
          <w:lang w:eastAsia="de-DE"/>
        </w:rPr>
        <w:t>[OP – please insert date</w:t>
      </w:r>
      <w:r w:rsidR="00AE09E7">
        <w:rPr>
          <w:i/>
          <w:sz w:val="22"/>
          <w:lang w:eastAsia="de-DE"/>
        </w:rPr>
        <w:t xml:space="preserve"> =</w:t>
      </w:r>
      <w:r w:rsidRPr="007E695F">
        <w:rPr>
          <w:i/>
          <w:sz w:val="22"/>
          <w:lang w:eastAsia="de-DE"/>
        </w:rPr>
        <w:t xml:space="preserve"> 3 years after the entry into force of th</w:t>
      </w:r>
      <w:r w:rsidR="00AE09E7">
        <w:rPr>
          <w:i/>
          <w:sz w:val="22"/>
          <w:lang w:eastAsia="de-DE"/>
        </w:rPr>
        <w:t>is</w:t>
      </w:r>
      <w:r w:rsidR="00C84CC2">
        <w:rPr>
          <w:i/>
          <w:sz w:val="22"/>
          <w:lang w:eastAsia="de-DE"/>
        </w:rPr>
        <w:t xml:space="preserve"> </w:t>
      </w:r>
      <w:r w:rsidRPr="007E695F">
        <w:rPr>
          <w:i/>
          <w:sz w:val="22"/>
          <w:lang w:eastAsia="de-DE"/>
        </w:rPr>
        <w:t>Regulation]</w:t>
      </w:r>
      <w:r w:rsidRPr="007E695F">
        <w:rPr>
          <w:sz w:val="22"/>
          <w:lang w:eastAsia="de-DE"/>
        </w:rPr>
        <w:t xml:space="preserve">. </w:t>
      </w:r>
    </w:p>
    <w:p w14:paraId="4F20B448" w14:textId="77777777" w:rsidR="00E82120" w:rsidRPr="007E695F" w:rsidRDefault="00E82120" w:rsidP="00E82120">
      <w:pPr>
        <w:rPr>
          <w:lang w:eastAsia="de-DE"/>
        </w:rPr>
      </w:pPr>
      <w:r w:rsidRPr="007E695F">
        <w:rPr>
          <w:lang w:eastAsia="de-DE"/>
        </w:rPr>
        <w:t xml:space="preserve">The review shall </w:t>
      </w:r>
      <w:proofErr w:type="gramStart"/>
      <w:r w:rsidRPr="007E695F">
        <w:rPr>
          <w:lang w:eastAsia="de-DE"/>
        </w:rPr>
        <w:t>in particular assess</w:t>
      </w:r>
      <w:proofErr w:type="gramEnd"/>
      <w:r w:rsidRPr="007E695F">
        <w:rPr>
          <w:lang w:eastAsia="de-DE"/>
        </w:rPr>
        <w:t xml:space="preserve"> the following:</w:t>
      </w:r>
    </w:p>
    <w:p w14:paraId="34B0FC28" w14:textId="77777777" w:rsidR="00E82120" w:rsidRPr="007E695F" w:rsidRDefault="00E82120" w:rsidP="004742AC">
      <w:pPr>
        <w:pStyle w:val="Point1letter"/>
        <w:numPr>
          <w:ilvl w:val="3"/>
          <w:numId w:val="6"/>
        </w:numPr>
      </w:pPr>
      <w:r w:rsidRPr="007E695F">
        <w:t xml:space="preserve">the appropriateness </w:t>
      </w:r>
      <w:r w:rsidR="00C0641E">
        <w:t>of revising</w:t>
      </w:r>
      <w:r w:rsidRPr="007E695F">
        <w:t xml:space="preserve"> the test methods to reflect changes in typical user behaviour and new </w:t>
      </w:r>
      <w:proofErr w:type="gramStart"/>
      <w:r w:rsidRPr="007E695F">
        <w:t>functionalities;</w:t>
      </w:r>
      <w:proofErr w:type="gramEnd"/>
    </w:p>
    <w:p w14:paraId="04C667BF" w14:textId="77777777" w:rsidR="00E82120" w:rsidRPr="007E695F" w:rsidRDefault="00C0641E" w:rsidP="004742AC">
      <w:pPr>
        <w:pStyle w:val="Point1letter"/>
        <w:numPr>
          <w:ilvl w:val="3"/>
          <w:numId w:val="6"/>
        </w:numPr>
      </w:pPr>
      <w:r w:rsidRPr="00C0641E">
        <w:t xml:space="preserve">the appropriateness of adding </w:t>
      </w:r>
      <w:r w:rsidR="00E82120" w:rsidRPr="007E695F">
        <w:t xml:space="preserve">environmental footprint information on the </w:t>
      </w:r>
      <w:proofErr w:type="gramStart"/>
      <w:r w:rsidR="00E82120" w:rsidRPr="007E695F">
        <w:t>label;</w:t>
      </w:r>
      <w:proofErr w:type="gramEnd"/>
    </w:p>
    <w:p w14:paraId="4A86BC5D" w14:textId="77777777" w:rsidR="00E82120" w:rsidRPr="007E695F" w:rsidRDefault="00C0641E" w:rsidP="004742AC">
      <w:pPr>
        <w:pStyle w:val="Point1letter"/>
        <w:numPr>
          <w:ilvl w:val="3"/>
          <w:numId w:val="6"/>
        </w:numPr>
      </w:pPr>
      <w:r>
        <w:t xml:space="preserve">the appropriateness of revising </w:t>
      </w:r>
      <w:r w:rsidR="00E82120" w:rsidRPr="007E695F">
        <w:t>the verification tolerances set out in Annex IX.</w:t>
      </w:r>
    </w:p>
    <w:p w14:paraId="2DF51B8C" w14:textId="77777777" w:rsidR="00E82120" w:rsidRPr="00656CF7" w:rsidRDefault="00E82120" w:rsidP="00E82120">
      <w:pPr>
        <w:pStyle w:val="Titrearticle"/>
        <w:rPr>
          <w:b/>
          <w:i w:val="0"/>
        </w:rPr>
      </w:pPr>
      <w:r w:rsidRPr="007E695F">
        <w:lastRenderedPageBreak/>
        <w:t xml:space="preserve">Article </w:t>
      </w:r>
      <w:r w:rsidR="00541B41">
        <w:t>8</w:t>
      </w:r>
      <w:r w:rsidRPr="007E695F">
        <w:br/>
      </w:r>
      <w:r w:rsidRPr="00D23F76">
        <w:rPr>
          <w:b/>
          <w:i w:val="0"/>
        </w:rPr>
        <w:t>Entry into force and application</w:t>
      </w:r>
    </w:p>
    <w:p w14:paraId="2F2E8295" w14:textId="77777777" w:rsidR="00E82120" w:rsidRPr="007E695F" w:rsidRDefault="00E82120" w:rsidP="00E82120">
      <w:pPr>
        <w:rPr>
          <w:lang w:eastAsia="de-DE"/>
        </w:rPr>
      </w:pPr>
      <w:r w:rsidRPr="007E695F">
        <w:rPr>
          <w:lang w:eastAsia="de-DE"/>
        </w:rPr>
        <w:t xml:space="preserve">This Regulation shall enter into force on the twentieth day following that of its publication in the </w:t>
      </w:r>
      <w:r w:rsidRPr="007E695F">
        <w:rPr>
          <w:i/>
          <w:lang w:eastAsia="de-DE"/>
        </w:rPr>
        <w:t>Official Journal of the European Union</w:t>
      </w:r>
      <w:r w:rsidRPr="007E695F">
        <w:rPr>
          <w:lang w:eastAsia="de-DE"/>
        </w:rPr>
        <w:t>.</w:t>
      </w:r>
    </w:p>
    <w:p w14:paraId="265454DD" w14:textId="77777777" w:rsidR="00033AD4" w:rsidRDefault="00E82120" w:rsidP="00E82120">
      <w:pPr>
        <w:rPr>
          <w:lang w:eastAsia="de-DE"/>
        </w:rPr>
      </w:pPr>
      <w:r w:rsidRPr="007E695F">
        <w:rPr>
          <w:lang w:eastAsia="de-DE"/>
        </w:rPr>
        <w:t xml:space="preserve">It shall apply from </w:t>
      </w:r>
      <w:r w:rsidR="00033AD4">
        <w:rPr>
          <w:lang w:eastAsia="de-DE"/>
        </w:rPr>
        <w:t>[OP please insert the date =</w:t>
      </w:r>
      <w:r w:rsidRPr="007E695F">
        <w:rPr>
          <w:lang w:eastAsia="de-DE"/>
        </w:rPr>
        <w:t>18 months after the entry into force of this Regulation</w:t>
      </w:r>
      <w:r w:rsidR="00033AD4">
        <w:rPr>
          <w:lang w:eastAsia="de-DE"/>
        </w:rPr>
        <w:t>]</w:t>
      </w:r>
      <w:r w:rsidRPr="007E695F">
        <w:rPr>
          <w:lang w:eastAsia="de-DE"/>
        </w:rPr>
        <w:t xml:space="preserve">. </w:t>
      </w:r>
    </w:p>
    <w:p w14:paraId="0C4867BF" w14:textId="77777777" w:rsidR="00E82120" w:rsidRPr="007E695F" w:rsidRDefault="00E82120" w:rsidP="00E82120">
      <w:pPr>
        <w:rPr>
          <w:lang w:eastAsia="de-DE"/>
        </w:rPr>
      </w:pPr>
      <w:r w:rsidRPr="7586FA55">
        <w:rPr>
          <w:lang w:eastAsia="de-DE"/>
        </w:rPr>
        <w:t>However, Article 3</w:t>
      </w:r>
      <w:r w:rsidR="00033AD4" w:rsidRPr="7586FA55">
        <w:rPr>
          <w:lang w:eastAsia="de-DE"/>
        </w:rPr>
        <w:t xml:space="preserve">(1), point (a), </w:t>
      </w:r>
      <w:r w:rsidRPr="7586FA55">
        <w:rPr>
          <w:lang w:eastAsia="de-DE"/>
        </w:rPr>
        <w:t xml:space="preserve">shall apply from </w:t>
      </w:r>
      <w:r w:rsidR="00033AD4" w:rsidRPr="7586FA55">
        <w:rPr>
          <w:lang w:eastAsia="de-DE"/>
        </w:rPr>
        <w:t xml:space="preserve">[OP please insert the date = </w:t>
      </w:r>
      <w:r w:rsidRPr="7586FA55">
        <w:rPr>
          <w:lang w:eastAsia="de-DE"/>
        </w:rPr>
        <w:t>14 months after the entr</w:t>
      </w:r>
      <w:r w:rsidR="007E695F" w:rsidRPr="7586FA55">
        <w:rPr>
          <w:lang w:eastAsia="de-DE"/>
        </w:rPr>
        <w:t>y into force of this Regulation</w:t>
      </w:r>
      <w:r w:rsidR="00033AD4" w:rsidRPr="7586FA55">
        <w:rPr>
          <w:lang w:eastAsia="de-DE"/>
        </w:rPr>
        <w:t>]</w:t>
      </w:r>
      <w:r w:rsidRPr="7586FA55">
        <w:rPr>
          <w:lang w:eastAsia="de-DE"/>
        </w:rPr>
        <w:t>.</w:t>
      </w:r>
    </w:p>
    <w:p w14:paraId="0F711FBE" w14:textId="77EBEF0E" w:rsidR="00E82120" w:rsidRDefault="00E82120" w:rsidP="00621D65">
      <w:r w:rsidRPr="00CA52E0">
        <w:rPr>
          <w:lang w:eastAsia="de-DE"/>
        </w:rPr>
        <w:t>This Regulation shall be binding in its entirety and directly applicable in all Member States.</w:t>
      </w:r>
      <w:r w:rsidR="00621D65">
        <w:t xml:space="preserve"> </w:t>
      </w:r>
    </w:p>
    <w:p w14:paraId="01DB7114" w14:textId="77777777" w:rsidR="00E82120" w:rsidRPr="00FF61F4" w:rsidRDefault="00DD7B39" w:rsidP="00DD7B39">
      <w:pPr>
        <w:pStyle w:val="Fait"/>
      </w:pPr>
      <w:r w:rsidRPr="00DD7B39">
        <w:t>Done at Brussels,</w:t>
      </w:r>
    </w:p>
    <w:p w14:paraId="5A8DB074" w14:textId="77777777" w:rsidR="00E82120" w:rsidRDefault="00E82120" w:rsidP="00E82120">
      <w:pPr>
        <w:pStyle w:val="Institutionquisigne"/>
      </w:pPr>
      <w:r w:rsidRPr="00822CDB">
        <w:tab/>
        <w:t>For the Commission</w:t>
      </w:r>
    </w:p>
    <w:p w14:paraId="08B74815" w14:textId="77777777" w:rsidR="00E82120" w:rsidRPr="006974F0" w:rsidRDefault="00E82120" w:rsidP="005776EC">
      <w:pPr>
        <w:pStyle w:val="Personnequisigne"/>
      </w:pPr>
      <w:r w:rsidRPr="00822CDB">
        <w:tab/>
        <w:t>The President</w:t>
      </w:r>
      <w:r w:rsidRPr="00822CDB">
        <w:br/>
      </w:r>
      <w:r w:rsidRPr="00822CDB">
        <w:tab/>
      </w:r>
      <w:r w:rsidRPr="006974F0">
        <w:t>Ursula VON DER LEYEN</w:t>
      </w:r>
    </w:p>
    <w:sectPr w:rsidR="00E82120" w:rsidRPr="006974F0" w:rsidSect="006238B0">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4C664" w14:textId="77777777" w:rsidR="006E3955" w:rsidRDefault="006E3955" w:rsidP="00693A7C">
      <w:pPr>
        <w:spacing w:before="0" w:after="0"/>
      </w:pPr>
      <w:r>
        <w:separator/>
      </w:r>
    </w:p>
  </w:endnote>
  <w:endnote w:type="continuationSeparator" w:id="0">
    <w:p w14:paraId="11F92CE1" w14:textId="77777777" w:rsidR="006E3955" w:rsidRDefault="006E3955" w:rsidP="00693A7C">
      <w:pPr>
        <w:spacing w:before="0" w:after="0"/>
      </w:pPr>
      <w:r>
        <w:continuationSeparator/>
      </w:r>
    </w:p>
  </w:endnote>
  <w:endnote w:type="continuationNotice" w:id="1">
    <w:p w14:paraId="46A866FF" w14:textId="77777777" w:rsidR="00A155AF" w:rsidRDefault="00A155A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621DB" w14:textId="77777777" w:rsidR="006238B0" w:rsidRPr="006238B0" w:rsidRDefault="006238B0" w:rsidP="006238B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BE7D" w14:textId="5204B711" w:rsidR="00DD7B39" w:rsidRPr="006238B0" w:rsidRDefault="006238B0" w:rsidP="006238B0">
    <w:pPr>
      <w:pStyle w:val="Bunntekst"/>
      <w:rPr>
        <w:rFonts w:ascii="Arial" w:hAnsi="Arial" w:cs="Arial"/>
        <w:b/>
        <w:sz w:val="48"/>
      </w:rPr>
    </w:pPr>
    <w:r w:rsidRPr="006238B0">
      <w:rPr>
        <w:rFonts w:ascii="Arial" w:hAnsi="Arial" w:cs="Arial"/>
        <w:b/>
        <w:sz w:val="48"/>
      </w:rPr>
      <w:t>EN</w:t>
    </w:r>
    <w:r w:rsidRPr="006238B0">
      <w:rPr>
        <w:rFonts w:ascii="Arial" w:hAnsi="Arial" w:cs="Arial"/>
        <w:b/>
        <w:sz w:val="48"/>
      </w:rPr>
      <w:tab/>
    </w:r>
    <w:r w:rsidRPr="006238B0">
      <w:rPr>
        <w:rFonts w:ascii="Arial" w:hAnsi="Arial" w:cs="Arial"/>
        <w:b/>
        <w:sz w:val="48"/>
      </w:rPr>
      <w:tab/>
    </w:r>
    <w:r w:rsidRPr="006238B0">
      <w:tab/>
    </w:r>
    <w:proofErr w:type="spellStart"/>
    <w:r w:rsidRPr="006238B0">
      <w:rPr>
        <w:rFonts w:ascii="Arial" w:hAnsi="Arial" w:cs="Arial"/>
        <w:b/>
        <w:sz w:val="48"/>
      </w:rPr>
      <w:t>EN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D2AF" w14:textId="77777777" w:rsidR="006238B0" w:rsidRPr="006238B0" w:rsidRDefault="006238B0" w:rsidP="006238B0">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753C" w14:textId="570CC4EE" w:rsidR="009539A4" w:rsidRPr="006238B0" w:rsidRDefault="006238B0" w:rsidP="006238B0">
    <w:pPr>
      <w:pStyle w:val="Bunntekst"/>
      <w:rPr>
        <w:rFonts w:ascii="Arial" w:hAnsi="Arial" w:cs="Arial"/>
        <w:b/>
        <w:sz w:val="48"/>
      </w:rPr>
    </w:pPr>
    <w:r w:rsidRPr="006238B0">
      <w:rPr>
        <w:rFonts w:ascii="Arial" w:hAnsi="Arial" w:cs="Arial"/>
        <w:b/>
        <w:sz w:val="48"/>
      </w:rPr>
      <w:t>EN</w:t>
    </w:r>
    <w:r w:rsidRPr="006238B0">
      <w:rPr>
        <w:rFonts w:ascii="Arial" w:hAnsi="Arial" w:cs="Arial"/>
        <w:b/>
        <w:sz w:val="48"/>
      </w:rPr>
      <w:tab/>
    </w:r>
    <w:r>
      <w:fldChar w:fldCharType="begin"/>
    </w:r>
    <w:r>
      <w:instrText xml:space="preserve"> PAGE  \* MERGEFORMAT </w:instrText>
    </w:r>
    <w:r>
      <w:fldChar w:fldCharType="separate"/>
    </w:r>
    <w:r w:rsidR="001E1509">
      <w:rPr>
        <w:noProof/>
      </w:rPr>
      <w:t>1</w:t>
    </w:r>
    <w:r>
      <w:fldChar w:fldCharType="end"/>
    </w:r>
    <w:r>
      <w:tab/>
    </w:r>
    <w:r w:rsidRPr="006238B0">
      <w:tab/>
    </w:r>
    <w:r w:rsidRPr="006238B0">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F77C" w14:textId="77777777" w:rsidR="006238B0" w:rsidRPr="006238B0" w:rsidRDefault="006238B0" w:rsidP="006238B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38CC5" w14:textId="77777777" w:rsidR="006E3955" w:rsidRDefault="006E3955" w:rsidP="00693A7C">
      <w:pPr>
        <w:spacing w:before="0" w:after="0"/>
      </w:pPr>
      <w:r>
        <w:separator/>
      </w:r>
    </w:p>
  </w:footnote>
  <w:footnote w:type="continuationSeparator" w:id="0">
    <w:p w14:paraId="4ED9D665" w14:textId="77777777" w:rsidR="006E3955" w:rsidRDefault="006E3955" w:rsidP="00693A7C">
      <w:pPr>
        <w:spacing w:before="0" w:after="0"/>
      </w:pPr>
      <w:r>
        <w:continuationSeparator/>
      </w:r>
    </w:p>
  </w:footnote>
  <w:footnote w:type="continuationNotice" w:id="1">
    <w:p w14:paraId="04BA428D" w14:textId="77777777" w:rsidR="00A155AF" w:rsidRDefault="00A155AF">
      <w:pPr>
        <w:spacing w:before="0" w:after="0"/>
      </w:pPr>
    </w:p>
  </w:footnote>
  <w:footnote w:id="2">
    <w:p w14:paraId="43737DDD" w14:textId="77777777" w:rsidR="006E3955" w:rsidRPr="00161633" w:rsidRDefault="006E3955" w:rsidP="00E82120">
      <w:pPr>
        <w:pStyle w:val="Fotnotetekst"/>
        <w:rPr>
          <w:lang w:val="en-US"/>
        </w:rPr>
      </w:pPr>
      <w:r>
        <w:rPr>
          <w:rStyle w:val="Fotnotereferanse"/>
        </w:rPr>
        <w:footnoteRef/>
      </w:r>
      <w:r w:rsidRPr="00161633">
        <w:rPr>
          <w:lang w:val="en-US"/>
        </w:rPr>
        <w:tab/>
        <w:t xml:space="preserve">OJ </w:t>
      </w:r>
      <w:r w:rsidRPr="00161633">
        <w:rPr>
          <w:iCs/>
          <w:lang w:val="en-US"/>
        </w:rPr>
        <w:t>L 198, 28.7.2017, p. 1</w:t>
      </w:r>
      <w:r w:rsidRPr="00161633">
        <w:rPr>
          <w:lang w:val="en-US"/>
        </w:rPr>
        <w:t>.</w:t>
      </w:r>
    </w:p>
  </w:footnote>
  <w:footnote w:id="3">
    <w:p w14:paraId="40B05955" w14:textId="77777777" w:rsidR="006E3955" w:rsidRPr="00161633" w:rsidRDefault="006E3955" w:rsidP="00E82120">
      <w:pPr>
        <w:pStyle w:val="Fotnotetekst"/>
        <w:rPr>
          <w:lang w:val="en-US"/>
        </w:rPr>
      </w:pPr>
      <w:r>
        <w:rPr>
          <w:rStyle w:val="Fotnotereferanse"/>
        </w:rPr>
        <w:footnoteRef/>
      </w:r>
      <w:r w:rsidRPr="00161633">
        <w:rPr>
          <w:lang w:val="en-US"/>
        </w:rPr>
        <w:tab/>
        <w:t>Regulation (EU) No 1025/2012 of the European Parliament and of the Council of 25 October 2012 on European standardization, amending Council Directives 89/686/EEC and 93/15/EEC and Directives 94/9/EC, 94/25/EC, 95/16/EC, 97/23/EC, 98/34/EC, 2004/22/EC, 2007/23/EC, 2009/23/EC and 2009/105/EC of the European Parliament and of the Council and repealing Council Decision 87/95/EEC and Decision No 1673/2006/EC of the European Parliament and of the Council (</w:t>
      </w:r>
      <w:r w:rsidRPr="00161633">
        <w:rPr>
          <w:iCs/>
          <w:lang w:val="en-US"/>
        </w:rPr>
        <w:t xml:space="preserve">OJ L 316, </w:t>
      </w:r>
      <w:r w:rsidRPr="00161633">
        <w:rPr>
          <w:lang w:val="en-US"/>
        </w:rPr>
        <w:t>14.11.2012, p.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A229" w14:textId="77777777" w:rsidR="006238B0" w:rsidRPr="006238B0" w:rsidRDefault="006238B0" w:rsidP="006238B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1ACF" w14:textId="77777777" w:rsidR="006238B0" w:rsidRPr="006238B0" w:rsidRDefault="006238B0" w:rsidP="006238B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D8D68" w14:textId="77777777" w:rsidR="006238B0" w:rsidRPr="006238B0" w:rsidRDefault="006238B0" w:rsidP="006238B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A5E25490"/>
    <w:lvl w:ilvl="0">
      <w:start w:val="1"/>
      <w:numFmt w:val="decimal"/>
      <w:pStyle w:val="Nummerertliste4"/>
      <w:lvlText w:val="%1."/>
      <w:lvlJc w:val="left"/>
      <w:pPr>
        <w:tabs>
          <w:tab w:val="num" w:pos="1209"/>
        </w:tabs>
        <w:ind w:left="1209" w:hanging="360"/>
      </w:pPr>
    </w:lvl>
  </w:abstractNum>
  <w:abstractNum w:abstractNumId="1" w15:restartNumberingAfterBreak="0">
    <w:nsid w:val="FFFFFF7E"/>
    <w:multiLevelType w:val="singleLevel"/>
    <w:tmpl w:val="E048B0F0"/>
    <w:lvl w:ilvl="0">
      <w:start w:val="1"/>
      <w:numFmt w:val="decimal"/>
      <w:pStyle w:val="Nummerertliste3"/>
      <w:lvlText w:val="%1."/>
      <w:lvlJc w:val="left"/>
      <w:pPr>
        <w:tabs>
          <w:tab w:val="num" w:pos="926"/>
        </w:tabs>
        <w:ind w:left="926" w:hanging="360"/>
      </w:pPr>
    </w:lvl>
  </w:abstractNum>
  <w:abstractNum w:abstractNumId="2" w15:restartNumberingAfterBreak="0">
    <w:nsid w:val="FFFFFF7F"/>
    <w:multiLevelType w:val="singleLevel"/>
    <w:tmpl w:val="81E6D1D6"/>
    <w:lvl w:ilvl="0">
      <w:start w:val="1"/>
      <w:numFmt w:val="decimal"/>
      <w:pStyle w:val="Nummerertliste2"/>
      <w:lvlText w:val="%1."/>
      <w:lvlJc w:val="left"/>
      <w:pPr>
        <w:tabs>
          <w:tab w:val="num" w:pos="643"/>
        </w:tabs>
        <w:ind w:left="643" w:hanging="360"/>
      </w:pPr>
    </w:lvl>
  </w:abstractNum>
  <w:abstractNum w:abstractNumId="3" w15:restartNumberingAfterBreak="0">
    <w:nsid w:val="FFFFFF81"/>
    <w:multiLevelType w:val="singleLevel"/>
    <w:tmpl w:val="26AE2638"/>
    <w:lvl w:ilvl="0">
      <w:start w:val="1"/>
      <w:numFmt w:val="bullet"/>
      <w:pStyle w:val="Punktliste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9F25790"/>
    <w:lvl w:ilvl="0">
      <w:start w:val="1"/>
      <w:numFmt w:val="bullet"/>
      <w:pStyle w:val="Punktliste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210DFE4"/>
    <w:lvl w:ilvl="0">
      <w:start w:val="1"/>
      <w:numFmt w:val="bullet"/>
      <w:pStyle w:val="Punktliste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5F246D86"/>
    <w:lvl w:ilvl="0">
      <w:start w:val="1"/>
      <w:numFmt w:val="decimal"/>
      <w:pStyle w:val="Nummerertliste"/>
      <w:lvlText w:val="%1."/>
      <w:lvlJc w:val="left"/>
      <w:pPr>
        <w:tabs>
          <w:tab w:val="num" w:pos="360"/>
        </w:tabs>
        <w:ind w:left="360" w:hanging="360"/>
      </w:pPr>
    </w:lvl>
  </w:abstractNum>
  <w:abstractNum w:abstractNumId="7" w15:restartNumberingAfterBreak="0">
    <w:nsid w:val="FFFFFF89"/>
    <w:multiLevelType w:val="singleLevel"/>
    <w:tmpl w:val="061A8F32"/>
    <w:lvl w:ilvl="0">
      <w:start w:val="1"/>
      <w:numFmt w:val="bullet"/>
      <w:pStyle w:val="Punktliste"/>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4A12FA4"/>
    <w:multiLevelType w:val="multilevel"/>
    <w:tmpl w:val="428ECF3E"/>
    <w:name w:val="Heading"/>
    <w:lvl w:ilvl="0">
      <w:start w:val="1"/>
      <w:numFmt w:val="decimal"/>
      <w:lvlRestart w:val="0"/>
      <w:pStyle w:val="Overskrift1"/>
      <w:lvlText w:val="%1."/>
      <w:lvlJc w:val="left"/>
      <w:pPr>
        <w:tabs>
          <w:tab w:val="num" w:pos="850"/>
        </w:tabs>
        <w:ind w:left="850" w:hanging="850"/>
      </w:pPr>
    </w:lvl>
    <w:lvl w:ilvl="1">
      <w:start w:val="1"/>
      <w:numFmt w:val="decimal"/>
      <w:pStyle w:val="Overskrift2"/>
      <w:lvlText w:val="%1.%2."/>
      <w:lvlJc w:val="left"/>
      <w:pPr>
        <w:tabs>
          <w:tab w:val="num" w:pos="850"/>
        </w:tabs>
        <w:ind w:left="850" w:hanging="850"/>
      </w:pPr>
    </w:lvl>
    <w:lvl w:ilvl="2">
      <w:start w:val="1"/>
      <w:numFmt w:val="decimal"/>
      <w:pStyle w:val="Overskrift3"/>
      <w:lvlText w:val="%1.%2.%3."/>
      <w:lvlJc w:val="left"/>
      <w:pPr>
        <w:tabs>
          <w:tab w:val="num" w:pos="850"/>
        </w:tabs>
        <w:ind w:left="850" w:hanging="850"/>
      </w:pPr>
    </w:lvl>
    <w:lvl w:ilvl="3">
      <w:start w:val="1"/>
      <w:numFmt w:val="decimal"/>
      <w:pStyle w:val="Overskrift4"/>
      <w:lvlText w:val="%1.%2.%3.%4."/>
      <w:lvlJc w:val="left"/>
      <w:pPr>
        <w:tabs>
          <w:tab w:val="num" w:pos="850"/>
        </w:tabs>
        <w:ind w:left="850" w:hanging="850"/>
      </w:pPr>
    </w:lvl>
    <w:lvl w:ilvl="4">
      <w:start w:val="1"/>
      <w:numFmt w:val="decimal"/>
      <w:pStyle w:val="Overskrift5"/>
      <w:lvlText w:val="%1.%2.%3.%4.%5."/>
      <w:lvlJc w:val="left"/>
      <w:pPr>
        <w:tabs>
          <w:tab w:val="num" w:pos="1417"/>
        </w:tabs>
        <w:ind w:left="1417" w:hanging="1417"/>
      </w:pPr>
    </w:lvl>
    <w:lvl w:ilvl="5">
      <w:start w:val="1"/>
      <w:numFmt w:val="decimal"/>
      <w:pStyle w:val="Overskrift6"/>
      <w:lvlText w:val="%1.%2.%3.%4.%5.%6."/>
      <w:lvlJc w:val="left"/>
      <w:pPr>
        <w:tabs>
          <w:tab w:val="num" w:pos="1417"/>
        </w:tabs>
        <w:ind w:left="1417" w:hanging="1417"/>
      </w:pPr>
    </w:lvl>
    <w:lvl w:ilvl="6">
      <w:start w:val="1"/>
      <w:numFmt w:val="decimal"/>
      <w:pStyle w:val="Overskrift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16cid:durableId="1822382311">
    <w:abstractNumId w:val="7"/>
  </w:num>
  <w:num w:numId="2" w16cid:durableId="1474351">
    <w:abstractNumId w:val="5"/>
  </w:num>
  <w:num w:numId="3" w16cid:durableId="562955970">
    <w:abstractNumId w:val="4"/>
  </w:num>
  <w:num w:numId="4" w16cid:durableId="2113087172">
    <w:abstractNumId w:val="3"/>
  </w:num>
  <w:num w:numId="5" w16cid:durableId="16963441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48999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81238614">
    <w:abstractNumId w:val="22"/>
    <w:lvlOverride w:ilvl="0">
      <w:startOverride w:val="1"/>
    </w:lvlOverride>
  </w:num>
  <w:num w:numId="8" w16cid:durableId="16625407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43606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5225186">
    <w:abstractNumId w:val="6"/>
  </w:num>
  <w:num w:numId="11" w16cid:durableId="1926068742">
    <w:abstractNumId w:val="2"/>
  </w:num>
  <w:num w:numId="12" w16cid:durableId="314450915">
    <w:abstractNumId w:val="1"/>
  </w:num>
  <w:num w:numId="13" w16cid:durableId="283540406">
    <w:abstractNumId w:val="0"/>
  </w:num>
  <w:num w:numId="14" w16cid:durableId="16678981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917478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2465842">
    <w:abstractNumId w:val="19"/>
    <w:lvlOverride w:ilvl="0">
      <w:startOverride w:val="1"/>
    </w:lvlOverride>
  </w:num>
  <w:num w:numId="17" w16cid:durableId="1680422332">
    <w:abstractNumId w:val="8"/>
  </w:num>
  <w:num w:numId="18" w16cid:durableId="16510614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73564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726544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74745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715226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425765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43981119">
    <w:abstractNumId w:val="19"/>
  </w:num>
  <w:num w:numId="25" w16cid:durableId="648901683">
    <w:abstractNumId w:val="12"/>
  </w:num>
  <w:num w:numId="26" w16cid:durableId="1673141967">
    <w:abstractNumId w:val="21"/>
  </w:num>
  <w:num w:numId="27" w16cid:durableId="1524440365">
    <w:abstractNumId w:val="11"/>
  </w:num>
  <w:num w:numId="28" w16cid:durableId="1529175536">
    <w:abstractNumId w:val="13"/>
  </w:num>
  <w:num w:numId="29" w16cid:durableId="1045983706">
    <w:abstractNumId w:val="14"/>
  </w:num>
  <w:num w:numId="30" w16cid:durableId="2116555326">
    <w:abstractNumId w:val="9"/>
  </w:num>
  <w:num w:numId="31" w16cid:durableId="191575404">
    <w:abstractNumId w:val="20"/>
  </w:num>
  <w:num w:numId="32" w16cid:durableId="1261841708">
    <w:abstractNumId w:val="8"/>
  </w:num>
  <w:num w:numId="33" w16cid:durableId="260647704">
    <w:abstractNumId w:val="15"/>
  </w:num>
  <w:num w:numId="34" w16cid:durableId="1010640653">
    <w:abstractNumId w:val="17"/>
  </w:num>
  <w:num w:numId="35" w16cid:durableId="1710761799">
    <w:abstractNumId w:val="18"/>
  </w:num>
  <w:num w:numId="36" w16cid:durableId="347945765">
    <w:abstractNumId w:val="10"/>
  </w:num>
  <w:num w:numId="37" w16cid:durableId="691346944">
    <w:abstractNumId w:val="16"/>
  </w:num>
  <w:num w:numId="38" w16cid:durableId="1614749739">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isplayBackgroundShape/>
  <w:proofState w:spelling="clean" w:grammar="clean"/>
  <w:attachedTemplate r:id="rId1"/>
  <w:defaultTabStop w:val="720"/>
  <w:hyphenationZone w:val="425"/>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QCDateTime" w:val="2022-10-04 10:03:18"/>
    <w:docVar w:name="DQCNUMB_1" w:val="52"/>
    <w:docVar w:name="DQCNUMB_10" w:val="67"/>
    <w:docVar w:name="DQCNUMB_11" w:val="68"/>
    <w:docVar w:name="DQCNUMB_12" w:val="69"/>
    <w:docVar w:name="DQCNUMB_13" w:val="70"/>
    <w:docVar w:name="DQCNUMB_14" w:val="71"/>
    <w:docVar w:name="DQCNUMB_2" w:val="53"/>
    <w:docVar w:name="DQCNUMB_3" w:val="57"/>
    <w:docVar w:name="DQCNUMB_4" w:val="61"/>
    <w:docVar w:name="DQCNUMB_5" w:val="62"/>
    <w:docVar w:name="DQCNUMB_6" w:val="63"/>
    <w:docVar w:name="DQCNUMB_7" w:val="64"/>
    <w:docVar w:name="DQCNUMB_8" w:val="65"/>
    <w:docVar w:name="DQCNUMB_9" w:val="66"/>
    <w:docVar w:name="DQCResult_Distribution" w:val="0;0"/>
    <w:docVar w:name="DQCResult_DocumentContent" w:val="0;0"/>
    <w:docVar w:name="DQCResult_DocumentSize" w:val="0;0"/>
    <w:docVar w:name="DQCResult_InvalidFootnotes" w:val="0;0"/>
    <w:docVar w:name="DQCResult_ModifiedMarkers" w:val="0;0"/>
    <w:docVar w:name="DQCResult_ModifiedNumbering" w:val="0;0"/>
    <w:docVar w:name="DQCResult_Objects" w:val="0;0"/>
    <w:docVar w:name="DQCResult_StructureCheck" w:val="0;0"/>
    <w:docVar w:name="DQCStatus" w:val="Green"/>
    <w:docVar w:name="DQCVersion" w:val="3"/>
    <w:docVar w:name="DQCWithWarnings" w:val="0"/>
    <w:docVar w:name="LW_CORRIGENDUM" w:val="&lt;UNUSED&gt;"/>
    <w:docVar w:name="LW_COVERPAGE_EXISTS" w:val="True"/>
    <w:docVar w:name="LW_COVERPAGE_GUID" w:val="591EE970-75C4-46E5-AEDB-8D833C0FE0C0"/>
    <w:docVar w:name="LW_COVERPAGE_TYPE" w:val="1"/>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3"/>
    <w:docVar w:name="LW_ID_DOCSIGNATURE" w:val="SJ-003"/>
    <w:docVar w:name="LW_ID_DOCSTRUCTURE" w:val="COM/AA"/>
    <w:docVar w:name="LW_ID_DOCTYPE" w:val="SJ-003"/>
    <w:docVar w:name="LW_ID_EXP.MOTIFS.NEW" w:val="EM_AA_"/>
    <w:docVar w:name="LW_INTERETEEE.CP" w:val="&lt;UNUSED&gt;"/>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22)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upplementing Regulation (EU) 2017/1369 of the European Parliament and of the Council with regard to the energy labelling of smartphones and slate tablets"/>
    <w:docVar w:name="LW_TYPE.DOC.CP" w:val="COMMISSION DELEGATED REGULATION (EU) \u8230?/..."/>
  </w:docVars>
  <w:rsids>
    <w:rsidRoot w:val="00693A7C"/>
    <w:rsid w:val="00014981"/>
    <w:rsid w:val="0002426F"/>
    <w:rsid w:val="00033AD4"/>
    <w:rsid w:val="00035276"/>
    <w:rsid w:val="0003527C"/>
    <w:rsid w:val="00040099"/>
    <w:rsid w:val="00040536"/>
    <w:rsid w:val="00063E5B"/>
    <w:rsid w:val="00076001"/>
    <w:rsid w:val="00077535"/>
    <w:rsid w:val="0009491F"/>
    <w:rsid w:val="000976BD"/>
    <w:rsid w:val="000B0987"/>
    <w:rsid w:val="000B7A7D"/>
    <w:rsid w:val="000C164F"/>
    <w:rsid w:val="000D173E"/>
    <w:rsid w:val="000E0D32"/>
    <w:rsid w:val="0011003D"/>
    <w:rsid w:val="00120585"/>
    <w:rsid w:val="00144D98"/>
    <w:rsid w:val="00152894"/>
    <w:rsid w:val="001A02A5"/>
    <w:rsid w:val="001A0D87"/>
    <w:rsid w:val="001C68CA"/>
    <w:rsid w:val="001E1509"/>
    <w:rsid w:val="001E7989"/>
    <w:rsid w:val="001F44AD"/>
    <w:rsid w:val="0021490F"/>
    <w:rsid w:val="00230FE9"/>
    <w:rsid w:val="00241D45"/>
    <w:rsid w:val="002647D6"/>
    <w:rsid w:val="00264C63"/>
    <w:rsid w:val="002A3100"/>
    <w:rsid w:val="002A5774"/>
    <w:rsid w:val="002C331C"/>
    <w:rsid w:val="002E527B"/>
    <w:rsid w:val="00314DD9"/>
    <w:rsid w:val="00334438"/>
    <w:rsid w:val="0036465B"/>
    <w:rsid w:val="00382937"/>
    <w:rsid w:val="00390D09"/>
    <w:rsid w:val="003944EE"/>
    <w:rsid w:val="00396ACD"/>
    <w:rsid w:val="003A2E7F"/>
    <w:rsid w:val="003A7566"/>
    <w:rsid w:val="003D05FA"/>
    <w:rsid w:val="003D1C89"/>
    <w:rsid w:val="003D33DD"/>
    <w:rsid w:val="003E1EC0"/>
    <w:rsid w:val="00406136"/>
    <w:rsid w:val="00424370"/>
    <w:rsid w:val="00437AA5"/>
    <w:rsid w:val="004742AC"/>
    <w:rsid w:val="00477CE0"/>
    <w:rsid w:val="00486660"/>
    <w:rsid w:val="00492396"/>
    <w:rsid w:val="004B27E1"/>
    <w:rsid w:val="004C1A44"/>
    <w:rsid w:val="004E19F9"/>
    <w:rsid w:val="004F39A5"/>
    <w:rsid w:val="00517205"/>
    <w:rsid w:val="005253E6"/>
    <w:rsid w:val="0052694C"/>
    <w:rsid w:val="00541B41"/>
    <w:rsid w:val="00542487"/>
    <w:rsid w:val="00545FA0"/>
    <w:rsid w:val="00561CF1"/>
    <w:rsid w:val="00564993"/>
    <w:rsid w:val="00570B6B"/>
    <w:rsid w:val="005776EC"/>
    <w:rsid w:val="00581988"/>
    <w:rsid w:val="00582810"/>
    <w:rsid w:val="00584103"/>
    <w:rsid w:val="00595540"/>
    <w:rsid w:val="00596B4A"/>
    <w:rsid w:val="00597807"/>
    <w:rsid w:val="005B5FA6"/>
    <w:rsid w:val="005D2303"/>
    <w:rsid w:val="005E09A5"/>
    <w:rsid w:val="005E62D7"/>
    <w:rsid w:val="005E7257"/>
    <w:rsid w:val="00600345"/>
    <w:rsid w:val="006064F5"/>
    <w:rsid w:val="00621D65"/>
    <w:rsid w:val="006238B0"/>
    <w:rsid w:val="006360A6"/>
    <w:rsid w:val="00652552"/>
    <w:rsid w:val="00656CF7"/>
    <w:rsid w:val="006654AB"/>
    <w:rsid w:val="006743D4"/>
    <w:rsid w:val="006855C7"/>
    <w:rsid w:val="00692B9A"/>
    <w:rsid w:val="00693A7C"/>
    <w:rsid w:val="006974F0"/>
    <w:rsid w:val="006B41FC"/>
    <w:rsid w:val="006D4E4D"/>
    <w:rsid w:val="006D59CA"/>
    <w:rsid w:val="006E3955"/>
    <w:rsid w:val="006F2748"/>
    <w:rsid w:val="006F7EFE"/>
    <w:rsid w:val="00716AA4"/>
    <w:rsid w:val="0075057D"/>
    <w:rsid w:val="007724C3"/>
    <w:rsid w:val="007C5964"/>
    <w:rsid w:val="007D0861"/>
    <w:rsid w:val="007E010B"/>
    <w:rsid w:val="007E695F"/>
    <w:rsid w:val="00802FC2"/>
    <w:rsid w:val="008072BC"/>
    <w:rsid w:val="008151F4"/>
    <w:rsid w:val="0082337E"/>
    <w:rsid w:val="00891D1F"/>
    <w:rsid w:val="008A310C"/>
    <w:rsid w:val="008C0CFB"/>
    <w:rsid w:val="008E0618"/>
    <w:rsid w:val="008E2694"/>
    <w:rsid w:val="00903E81"/>
    <w:rsid w:val="00914D2E"/>
    <w:rsid w:val="0092081B"/>
    <w:rsid w:val="009251E1"/>
    <w:rsid w:val="00930106"/>
    <w:rsid w:val="00940731"/>
    <w:rsid w:val="00947E2E"/>
    <w:rsid w:val="00950A40"/>
    <w:rsid w:val="009539A4"/>
    <w:rsid w:val="00962296"/>
    <w:rsid w:val="009779AD"/>
    <w:rsid w:val="00977A95"/>
    <w:rsid w:val="009957C5"/>
    <w:rsid w:val="0099582A"/>
    <w:rsid w:val="009C54D3"/>
    <w:rsid w:val="009D3BFD"/>
    <w:rsid w:val="009D5891"/>
    <w:rsid w:val="009D5F9E"/>
    <w:rsid w:val="009E1A33"/>
    <w:rsid w:val="009E408B"/>
    <w:rsid w:val="009F3502"/>
    <w:rsid w:val="009F41CE"/>
    <w:rsid w:val="00A130A8"/>
    <w:rsid w:val="00A155AF"/>
    <w:rsid w:val="00A23AF1"/>
    <w:rsid w:val="00A2695B"/>
    <w:rsid w:val="00A565C7"/>
    <w:rsid w:val="00A65165"/>
    <w:rsid w:val="00A66DE6"/>
    <w:rsid w:val="00A828B3"/>
    <w:rsid w:val="00A9050C"/>
    <w:rsid w:val="00A93C9C"/>
    <w:rsid w:val="00A97645"/>
    <w:rsid w:val="00AA3E6F"/>
    <w:rsid w:val="00AB0909"/>
    <w:rsid w:val="00AC40C6"/>
    <w:rsid w:val="00AC7B32"/>
    <w:rsid w:val="00AC7E7B"/>
    <w:rsid w:val="00AE09E7"/>
    <w:rsid w:val="00AE512A"/>
    <w:rsid w:val="00B002C6"/>
    <w:rsid w:val="00B1425C"/>
    <w:rsid w:val="00B35E22"/>
    <w:rsid w:val="00B44B7C"/>
    <w:rsid w:val="00B671F3"/>
    <w:rsid w:val="00B7614B"/>
    <w:rsid w:val="00B92E90"/>
    <w:rsid w:val="00BC2AA5"/>
    <w:rsid w:val="00BD6AA0"/>
    <w:rsid w:val="00BE0D21"/>
    <w:rsid w:val="00BE2AC7"/>
    <w:rsid w:val="00BE58B9"/>
    <w:rsid w:val="00BF2E64"/>
    <w:rsid w:val="00C0641E"/>
    <w:rsid w:val="00C32B26"/>
    <w:rsid w:val="00C3731F"/>
    <w:rsid w:val="00C55D10"/>
    <w:rsid w:val="00C6779D"/>
    <w:rsid w:val="00C72762"/>
    <w:rsid w:val="00C744EE"/>
    <w:rsid w:val="00C84CC2"/>
    <w:rsid w:val="00C85D0B"/>
    <w:rsid w:val="00CC7FDC"/>
    <w:rsid w:val="00CE0516"/>
    <w:rsid w:val="00D11E60"/>
    <w:rsid w:val="00D23F76"/>
    <w:rsid w:val="00D25EEC"/>
    <w:rsid w:val="00D34284"/>
    <w:rsid w:val="00D35D6B"/>
    <w:rsid w:val="00D64DD3"/>
    <w:rsid w:val="00D96EAF"/>
    <w:rsid w:val="00DB1E60"/>
    <w:rsid w:val="00DB4B20"/>
    <w:rsid w:val="00DB6E34"/>
    <w:rsid w:val="00DD7B39"/>
    <w:rsid w:val="00E07235"/>
    <w:rsid w:val="00E15899"/>
    <w:rsid w:val="00E2140D"/>
    <w:rsid w:val="00E33C9F"/>
    <w:rsid w:val="00E65E26"/>
    <w:rsid w:val="00E661DF"/>
    <w:rsid w:val="00E76052"/>
    <w:rsid w:val="00E82120"/>
    <w:rsid w:val="00E979AB"/>
    <w:rsid w:val="00EA46EB"/>
    <w:rsid w:val="00EA64ED"/>
    <w:rsid w:val="00EB3D38"/>
    <w:rsid w:val="00EC11D1"/>
    <w:rsid w:val="00EC39BC"/>
    <w:rsid w:val="00EC62EC"/>
    <w:rsid w:val="00ED09E3"/>
    <w:rsid w:val="00EE140B"/>
    <w:rsid w:val="00EE25A2"/>
    <w:rsid w:val="00F044C1"/>
    <w:rsid w:val="00F14D17"/>
    <w:rsid w:val="00F15F45"/>
    <w:rsid w:val="00F16CCC"/>
    <w:rsid w:val="00F35039"/>
    <w:rsid w:val="00F52105"/>
    <w:rsid w:val="00F53066"/>
    <w:rsid w:val="00F53174"/>
    <w:rsid w:val="00F66DE0"/>
    <w:rsid w:val="00F807EC"/>
    <w:rsid w:val="00FA2C27"/>
    <w:rsid w:val="00FC2396"/>
    <w:rsid w:val="00FD6FC2"/>
    <w:rsid w:val="01991EBE"/>
    <w:rsid w:val="034F6CAF"/>
    <w:rsid w:val="03BA1989"/>
    <w:rsid w:val="04BF1753"/>
    <w:rsid w:val="0555E9EA"/>
    <w:rsid w:val="056F1247"/>
    <w:rsid w:val="06D097E7"/>
    <w:rsid w:val="082F9DAB"/>
    <w:rsid w:val="0A4FB080"/>
    <w:rsid w:val="0A5F546C"/>
    <w:rsid w:val="0B28B42B"/>
    <w:rsid w:val="0CE6FA3A"/>
    <w:rsid w:val="0D232797"/>
    <w:rsid w:val="0FD766C6"/>
    <w:rsid w:val="1001C9FA"/>
    <w:rsid w:val="1059BF44"/>
    <w:rsid w:val="1073F0B6"/>
    <w:rsid w:val="140E60A6"/>
    <w:rsid w:val="1A328F54"/>
    <w:rsid w:val="2330C17D"/>
    <w:rsid w:val="25C054D1"/>
    <w:rsid w:val="265CCC14"/>
    <w:rsid w:val="27BAC83D"/>
    <w:rsid w:val="2838D5BB"/>
    <w:rsid w:val="28F7F593"/>
    <w:rsid w:val="2DD3543C"/>
    <w:rsid w:val="2F673717"/>
    <w:rsid w:val="2FC5DA22"/>
    <w:rsid w:val="310AF4FE"/>
    <w:rsid w:val="3161AA83"/>
    <w:rsid w:val="316E5B08"/>
    <w:rsid w:val="32FD7AE4"/>
    <w:rsid w:val="35D5C3CD"/>
    <w:rsid w:val="3672EFDE"/>
    <w:rsid w:val="36C02B7E"/>
    <w:rsid w:val="36F3F48C"/>
    <w:rsid w:val="377A3682"/>
    <w:rsid w:val="37F9242C"/>
    <w:rsid w:val="3827E89C"/>
    <w:rsid w:val="3856E70B"/>
    <w:rsid w:val="3865F931"/>
    <w:rsid w:val="3908C2D3"/>
    <w:rsid w:val="393FBEE6"/>
    <w:rsid w:val="3974A9EE"/>
    <w:rsid w:val="3994F48D"/>
    <w:rsid w:val="39F2B76C"/>
    <w:rsid w:val="3A2B954E"/>
    <w:rsid w:val="3B30C4EE"/>
    <w:rsid w:val="3B8E87CD"/>
    <w:rsid w:val="3C166742"/>
    <w:rsid w:val="3DE79C82"/>
    <w:rsid w:val="3F854867"/>
    <w:rsid w:val="4057E2B9"/>
    <w:rsid w:val="417FBBD3"/>
    <w:rsid w:val="431B8C34"/>
    <w:rsid w:val="49C8A1F0"/>
    <w:rsid w:val="4DDADD48"/>
    <w:rsid w:val="4ED248E0"/>
    <w:rsid w:val="4FF5E991"/>
    <w:rsid w:val="505CDE6A"/>
    <w:rsid w:val="519A70C6"/>
    <w:rsid w:val="51A16390"/>
    <w:rsid w:val="53947F2C"/>
    <w:rsid w:val="54550029"/>
    <w:rsid w:val="54634729"/>
    <w:rsid w:val="5466EFCE"/>
    <w:rsid w:val="55C86594"/>
    <w:rsid w:val="55E5EF2D"/>
    <w:rsid w:val="56E5358D"/>
    <w:rsid w:val="5743EB56"/>
    <w:rsid w:val="58AAD1AA"/>
    <w:rsid w:val="591D8FEF"/>
    <w:rsid w:val="593A60F1"/>
    <w:rsid w:val="5A1CE90D"/>
    <w:rsid w:val="5BE2726C"/>
    <w:rsid w:val="5C5530B1"/>
    <w:rsid w:val="5F14812A"/>
    <w:rsid w:val="5F1B342D"/>
    <w:rsid w:val="60843D0B"/>
    <w:rsid w:val="6319E261"/>
    <w:rsid w:val="6334AB4B"/>
    <w:rsid w:val="6797E358"/>
    <w:rsid w:val="6ACF841A"/>
    <w:rsid w:val="6B88FC4C"/>
    <w:rsid w:val="6BAA1EB0"/>
    <w:rsid w:val="6E8299C1"/>
    <w:rsid w:val="6EFAE7CF"/>
    <w:rsid w:val="6F040AFE"/>
    <w:rsid w:val="6FC179E9"/>
    <w:rsid w:val="712C1B8A"/>
    <w:rsid w:val="71DB8BFC"/>
    <w:rsid w:val="722B0861"/>
    <w:rsid w:val="7268BE5E"/>
    <w:rsid w:val="73D9EF1D"/>
    <w:rsid w:val="7586FA55"/>
    <w:rsid w:val="775C061C"/>
    <w:rsid w:val="78AD6040"/>
    <w:rsid w:val="7AD46D0D"/>
    <w:rsid w:val="7CAE60C1"/>
    <w:rsid w:val="7E6A3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D4D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Overskrift1">
    <w:name w:val="heading 1"/>
    <w:basedOn w:val="Normal"/>
    <w:next w:val="Text1"/>
    <w:link w:val="Overskrift1Tegn"/>
    <w:uiPriority w:val="9"/>
    <w:qFormat/>
    <w:pPr>
      <w:keepNext/>
      <w:numPr>
        <w:numId w:val="31"/>
      </w:numPr>
      <w:spacing w:before="360"/>
      <w:outlineLvl w:val="0"/>
    </w:pPr>
    <w:rPr>
      <w:rFonts w:eastAsiaTheme="majorEastAsia"/>
      <w:b/>
      <w:bCs/>
      <w:smallCaps/>
      <w:szCs w:val="28"/>
    </w:rPr>
  </w:style>
  <w:style w:type="paragraph" w:styleId="Overskrift2">
    <w:name w:val="heading 2"/>
    <w:basedOn w:val="Normal"/>
    <w:next w:val="Text1"/>
    <w:link w:val="Overskrift2Tegn"/>
    <w:uiPriority w:val="9"/>
    <w:semiHidden/>
    <w:unhideWhenUsed/>
    <w:qFormat/>
    <w:pPr>
      <w:keepNext/>
      <w:numPr>
        <w:ilvl w:val="1"/>
        <w:numId w:val="31"/>
      </w:numPr>
      <w:outlineLvl w:val="1"/>
    </w:pPr>
    <w:rPr>
      <w:rFonts w:eastAsiaTheme="majorEastAsia"/>
      <w:b/>
      <w:bCs/>
      <w:szCs w:val="26"/>
    </w:rPr>
  </w:style>
  <w:style w:type="paragraph" w:styleId="Overskrift3">
    <w:name w:val="heading 3"/>
    <w:basedOn w:val="Normal"/>
    <w:next w:val="Text1"/>
    <w:link w:val="Overskrift3Tegn"/>
    <w:uiPriority w:val="9"/>
    <w:semiHidden/>
    <w:unhideWhenUsed/>
    <w:qFormat/>
    <w:pPr>
      <w:keepNext/>
      <w:numPr>
        <w:ilvl w:val="2"/>
        <w:numId w:val="31"/>
      </w:numPr>
      <w:outlineLvl w:val="2"/>
    </w:pPr>
    <w:rPr>
      <w:rFonts w:eastAsiaTheme="majorEastAsia"/>
      <w:bCs/>
      <w:i/>
    </w:rPr>
  </w:style>
  <w:style w:type="paragraph" w:styleId="Overskrift4">
    <w:name w:val="heading 4"/>
    <w:basedOn w:val="Normal"/>
    <w:next w:val="Text1"/>
    <w:link w:val="Overskrift4Tegn"/>
    <w:uiPriority w:val="9"/>
    <w:semiHidden/>
    <w:unhideWhenUsed/>
    <w:qFormat/>
    <w:pPr>
      <w:keepNext/>
      <w:numPr>
        <w:ilvl w:val="3"/>
        <w:numId w:val="31"/>
      </w:numPr>
      <w:outlineLvl w:val="3"/>
    </w:pPr>
    <w:rPr>
      <w:rFonts w:eastAsiaTheme="majorEastAsia"/>
      <w:bCs/>
      <w:iCs/>
    </w:rPr>
  </w:style>
  <w:style w:type="paragraph" w:styleId="Overskrift5">
    <w:name w:val="heading 5"/>
    <w:basedOn w:val="Normal"/>
    <w:next w:val="Text2"/>
    <w:link w:val="Overskrift5Tegn"/>
    <w:uiPriority w:val="9"/>
    <w:semiHidden/>
    <w:unhideWhenUsed/>
    <w:qFormat/>
    <w:pPr>
      <w:keepNext/>
      <w:numPr>
        <w:ilvl w:val="4"/>
        <w:numId w:val="31"/>
      </w:numPr>
      <w:outlineLvl w:val="4"/>
    </w:pPr>
    <w:rPr>
      <w:rFonts w:eastAsiaTheme="majorEastAsia"/>
    </w:rPr>
  </w:style>
  <w:style w:type="paragraph" w:styleId="Overskrift6">
    <w:name w:val="heading 6"/>
    <w:basedOn w:val="Normal"/>
    <w:next w:val="Text2"/>
    <w:link w:val="Overskrift6Tegn"/>
    <w:uiPriority w:val="9"/>
    <w:semiHidden/>
    <w:unhideWhenUsed/>
    <w:qFormat/>
    <w:pPr>
      <w:keepNext/>
      <w:numPr>
        <w:ilvl w:val="5"/>
        <w:numId w:val="31"/>
      </w:numPr>
      <w:outlineLvl w:val="5"/>
    </w:pPr>
    <w:rPr>
      <w:rFonts w:eastAsiaTheme="majorEastAsia"/>
      <w:iCs/>
    </w:rPr>
  </w:style>
  <w:style w:type="paragraph" w:styleId="Overskrift7">
    <w:name w:val="heading 7"/>
    <w:basedOn w:val="Normal"/>
    <w:next w:val="Text2"/>
    <w:link w:val="Overskrift7Tegn"/>
    <w:uiPriority w:val="9"/>
    <w:semiHidden/>
    <w:unhideWhenUsed/>
    <w:qFormat/>
    <w:pPr>
      <w:keepNext/>
      <w:numPr>
        <w:ilvl w:val="6"/>
        <w:numId w:val="31"/>
      </w:numPr>
      <w:outlineLvl w:val="6"/>
    </w:pPr>
    <w:rPr>
      <w:rFonts w:eastAsiaTheme="majorEastAsia"/>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Punktliste">
    <w:name w:val="List Bullet"/>
    <w:basedOn w:val="Normal"/>
    <w:uiPriority w:val="99"/>
    <w:semiHidden/>
    <w:unhideWhenUsed/>
    <w:rsid w:val="00E82120"/>
    <w:pPr>
      <w:numPr>
        <w:numId w:val="1"/>
      </w:numPr>
      <w:contextualSpacing/>
    </w:pPr>
  </w:style>
  <w:style w:type="paragraph" w:styleId="Punktliste2">
    <w:name w:val="List Bullet 2"/>
    <w:basedOn w:val="Normal"/>
    <w:uiPriority w:val="99"/>
    <w:semiHidden/>
    <w:unhideWhenUsed/>
    <w:rsid w:val="00E82120"/>
    <w:pPr>
      <w:numPr>
        <w:numId w:val="2"/>
      </w:numPr>
      <w:contextualSpacing/>
    </w:pPr>
  </w:style>
  <w:style w:type="paragraph" w:styleId="Punktliste3">
    <w:name w:val="List Bullet 3"/>
    <w:basedOn w:val="Normal"/>
    <w:uiPriority w:val="99"/>
    <w:semiHidden/>
    <w:unhideWhenUsed/>
    <w:rsid w:val="00E82120"/>
    <w:pPr>
      <w:numPr>
        <w:numId w:val="3"/>
      </w:numPr>
      <w:contextualSpacing/>
    </w:pPr>
  </w:style>
  <w:style w:type="paragraph" w:styleId="Punktliste4">
    <w:name w:val="List Bullet 4"/>
    <w:basedOn w:val="Normal"/>
    <w:uiPriority w:val="99"/>
    <w:semiHidden/>
    <w:unhideWhenUsed/>
    <w:rsid w:val="00E82120"/>
    <w:pPr>
      <w:numPr>
        <w:numId w:val="4"/>
      </w:numPr>
      <w:contextualSpacing/>
    </w:pPr>
  </w:style>
  <w:style w:type="paragraph" w:styleId="Ingenmellomrom">
    <w:name w:val="No Spacing"/>
    <w:uiPriority w:val="1"/>
    <w:qFormat/>
    <w:rsid w:val="00E82120"/>
    <w:pPr>
      <w:spacing w:after="0" w:line="240" w:lineRule="auto"/>
    </w:pPr>
    <w:rPr>
      <w:lang w:val="nl-BE"/>
    </w:rPr>
  </w:style>
  <w:style w:type="character" w:styleId="Hyperkobling">
    <w:name w:val="Hyperlink"/>
    <w:basedOn w:val="Standardskriftforavsnitt"/>
    <w:uiPriority w:val="99"/>
    <w:unhideWhenUsed/>
    <w:rsid w:val="00E82120"/>
    <w:rPr>
      <w:color w:val="0000FF" w:themeColor="hyperlink"/>
      <w:u w:val="single"/>
    </w:rPr>
  </w:style>
  <w:style w:type="paragraph" w:styleId="Listeavsnitt">
    <w:name w:val="List Paragraph"/>
    <w:aliases w:val="1st level - Bullet List Paragraph,Lettre d'introduction,Paragrafo elenco,List Paragraph1,Medium Grid 1 - Accent 21,FooterText,Paragraphe de liste1,Heading 2_sj,Numbered Para 1,Dot pt,No Spacing1,List Paragraph Char Char Char,lp1"/>
    <w:basedOn w:val="Normal"/>
    <w:link w:val="ListeavsnittTegn"/>
    <w:uiPriority w:val="34"/>
    <w:qFormat/>
    <w:rsid w:val="00E82120"/>
    <w:pPr>
      <w:spacing w:before="0" w:after="240"/>
      <w:ind w:left="720"/>
      <w:contextualSpacing/>
    </w:pPr>
    <w:rPr>
      <w:rFonts w:eastAsia="Times New Roman"/>
      <w:szCs w:val="20"/>
    </w:rPr>
  </w:style>
  <w:style w:type="character" w:customStyle="1" w:styleId="ListeavsnittTegn">
    <w:name w:val="Listeavsnitt Tegn"/>
    <w:aliases w:val="1st level - Bullet List Paragraph Tegn,Lettre d'introduction Tegn,Paragrafo elenco Tegn,List Paragraph1 Tegn,Medium Grid 1 - Accent 21 Tegn,FooterText Tegn,Paragraphe de liste1 Tegn,Heading 2_sj Tegn,Numbered Para 1 Tegn,Dot pt Tegn"/>
    <w:link w:val="Listeavsnitt"/>
    <w:uiPriority w:val="34"/>
    <w:qFormat/>
    <w:locked/>
    <w:rsid w:val="00E82120"/>
    <w:rPr>
      <w:rFonts w:ascii="Times New Roman" w:eastAsia="Times New Roman" w:hAnsi="Times New Roman" w:cs="Times New Roman"/>
      <w:sz w:val="24"/>
      <w:szCs w:val="20"/>
      <w:lang w:val="en-GB"/>
    </w:rPr>
  </w:style>
  <w:style w:type="paragraph" w:styleId="Bildetekst">
    <w:name w:val="caption"/>
    <w:basedOn w:val="Normal"/>
    <w:next w:val="Normal"/>
    <w:uiPriority w:val="35"/>
    <w:semiHidden/>
    <w:unhideWhenUsed/>
    <w:qFormat/>
    <w:rsid w:val="0002426F"/>
    <w:pPr>
      <w:spacing w:before="0" w:after="200"/>
    </w:pPr>
    <w:rPr>
      <w:i/>
      <w:iCs/>
      <w:color w:val="1F497D" w:themeColor="text2"/>
      <w:sz w:val="18"/>
      <w:szCs w:val="18"/>
    </w:rPr>
  </w:style>
  <w:style w:type="paragraph" w:styleId="Figurliste">
    <w:name w:val="table of figures"/>
    <w:basedOn w:val="Normal"/>
    <w:next w:val="Normal"/>
    <w:uiPriority w:val="99"/>
    <w:semiHidden/>
    <w:unhideWhenUsed/>
    <w:rsid w:val="0002426F"/>
    <w:pPr>
      <w:spacing w:after="0"/>
    </w:pPr>
  </w:style>
  <w:style w:type="paragraph" w:styleId="Nummerertliste">
    <w:name w:val="List Number"/>
    <w:basedOn w:val="Normal"/>
    <w:uiPriority w:val="99"/>
    <w:semiHidden/>
    <w:unhideWhenUsed/>
    <w:rsid w:val="0002426F"/>
    <w:pPr>
      <w:numPr>
        <w:numId w:val="10"/>
      </w:numPr>
      <w:contextualSpacing/>
    </w:pPr>
  </w:style>
  <w:style w:type="paragraph" w:styleId="Nummerertliste2">
    <w:name w:val="List Number 2"/>
    <w:basedOn w:val="Normal"/>
    <w:uiPriority w:val="99"/>
    <w:semiHidden/>
    <w:unhideWhenUsed/>
    <w:rsid w:val="0002426F"/>
    <w:pPr>
      <w:numPr>
        <w:numId w:val="11"/>
      </w:numPr>
      <w:contextualSpacing/>
    </w:pPr>
  </w:style>
  <w:style w:type="paragraph" w:styleId="Nummerertliste3">
    <w:name w:val="List Number 3"/>
    <w:basedOn w:val="Normal"/>
    <w:uiPriority w:val="99"/>
    <w:semiHidden/>
    <w:unhideWhenUsed/>
    <w:rsid w:val="0002426F"/>
    <w:pPr>
      <w:numPr>
        <w:numId w:val="12"/>
      </w:numPr>
      <w:contextualSpacing/>
    </w:pPr>
  </w:style>
  <w:style w:type="paragraph" w:styleId="Nummerertliste4">
    <w:name w:val="List Number 4"/>
    <w:basedOn w:val="Normal"/>
    <w:uiPriority w:val="99"/>
    <w:semiHidden/>
    <w:unhideWhenUsed/>
    <w:rsid w:val="0002426F"/>
    <w:pPr>
      <w:numPr>
        <w:numId w:val="13"/>
      </w:numPr>
      <w:contextualSpacing/>
    </w:pPr>
  </w:style>
  <w:style w:type="paragraph" w:styleId="Merknadstekst">
    <w:name w:val="annotation text"/>
    <w:basedOn w:val="Normal"/>
    <w:link w:val="MerknadstekstTegn"/>
    <w:uiPriority w:val="99"/>
    <w:semiHidden/>
    <w:unhideWhenUsed/>
    <w:rPr>
      <w:sz w:val="20"/>
      <w:szCs w:val="20"/>
    </w:rPr>
  </w:style>
  <w:style w:type="character" w:customStyle="1" w:styleId="MerknadstekstTegn">
    <w:name w:val="Merknadstekst Tegn"/>
    <w:basedOn w:val="Standardskriftforavsnitt"/>
    <w:link w:val="Merknadstekst"/>
    <w:uiPriority w:val="99"/>
    <w:semiHidden/>
    <w:rPr>
      <w:rFonts w:ascii="Times New Roman" w:hAnsi="Times New Roman" w:cs="Times New Roman"/>
      <w:sz w:val="20"/>
      <w:szCs w:val="20"/>
      <w:lang w:val="en-GB"/>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914D2E"/>
    <w:pPr>
      <w:spacing w:before="0" w:after="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14D2E"/>
    <w:rPr>
      <w:rFonts w:ascii="Segoe UI" w:hAnsi="Segoe UI" w:cs="Segoe UI"/>
      <w:sz w:val="18"/>
      <w:szCs w:val="18"/>
      <w:lang w:val="en-GB"/>
    </w:rPr>
  </w:style>
  <w:style w:type="paragraph" w:styleId="Kommentaremne">
    <w:name w:val="annotation subject"/>
    <w:basedOn w:val="Merknadstekst"/>
    <w:next w:val="Merknadstekst"/>
    <w:link w:val="KommentaremneTegn"/>
    <w:uiPriority w:val="99"/>
    <w:semiHidden/>
    <w:unhideWhenUsed/>
    <w:rsid w:val="005776EC"/>
    <w:rPr>
      <w:b/>
      <w:bCs/>
    </w:rPr>
  </w:style>
  <w:style w:type="character" w:customStyle="1" w:styleId="KommentaremneTegn">
    <w:name w:val="Kommentaremne Tegn"/>
    <w:basedOn w:val="MerknadstekstTegn"/>
    <w:link w:val="Kommentaremne"/>
    <w:uiPriority w:val="99"/>
    <w:semiHidden/>
    <w:rsid w:val="005776EC"/>
    <w:rPr>
      <w:rFonts w:ascii="Times New Roman" w:hAnsi="Times New Roman" w:cs="Times New Roman"/>
      <w:b/>
      <w:bCs/>
      <w:sz w:val="20"/>
      <w:szCs w:val="20"/>
      <w:lang w:val="en-GB"/>
    </w:rPr>
  </w:style>
  <w:style w:type="character" w:customStyle="1" w:styleId="Omtale1">
    <w:name w:val="Omtale1"/>
    <w:basedOn w:val="Standardskriftforavsnitt"/>
    <w:uiPriority w:val="99"/>
    <w:unhideWhenUsed/>
    <w:rPr>
      <w:color w:val="2B579A"/>
      <w:shd w:val="clear" w:color="auto" w:fill="E6E6E6"/>
    </w:rPr>
  </w:style>
  <w:style w:type="character" w:styleId="Plassholdertekst">
    <w:name w:val="Placeholder Text"/>
    <w:basedOn w:val="Standardskriftforavsnitt"/>
    <w:uiPriority w:val="99"/>
    <w:semiHidden/>
    <w:rsid w:val="006360A6"/>
    <w:rPr>
      <w:color w:val="808080"/>
    </w:rPr>
  </w:style>
  <w:style w:type="paragraph" w:styleId="Topptekst">
    <w:name w:val="header"/>
    <w:basedOn w:val="Normal"/>
    <w:link w:val="TopptekstTegn"/>
    <w:uiPriority w:val="99"/>
    <w:semiHidden/>
    <w:unhideWhenUsed/>
    <w:pPr>
      <w:tabs>
        <w:tab w:val="center" w:pos="4535"/>
        <w:tab w:val="right" w:pos="9071"/>
      </w:tabs>
      <w:spacing w:before="0"/>
    </w:pPr>
  </w:style>
  <w:style w:type="character" w:customStyle="1" w:styleId="TopptekstTegn">
    <w:name w:val="Topptekst Tegn"/>
    <w:basedOn w:val="Standardskriftforavsnitt"/>
    <w:link w:val="Topptekst"/>
    <w:uiPriority w:val="99"/>
    <w:semiHidden/>
    <w:rPr>
      <w:rFonts w:ascii="Times New Roman" w:hAnsi="Times New Roman" w:cs="Times New Roman"/>
      <w:sz w:val="24"/>
      <w:shd w:val="clear" w:color="auto" w:fill="auto"/>
      <w:lang w:val="en-GB"/>
    </w:rPr>
  </w:style>
  <w:style w:type="paragraph" w:styleId="Bunntekst">
    <w:name w:val="footer"/>
    <w:basedOn w:val="Normal"/>
    <w:link w:val="BunntekstTegn"/>
    <w:uiPriority w:val="99"/>
    <w:semiHidden/>
    <w:unhideWhenUsed/>
    <w:pPr>
      <w:tabs>
        <w:tab w:val="center" w:pos="4535"/>
        <w:tab w:val="right" w:pos="9071"/>
        <w:tab w:val="right" w:pos="9921"/>
      </w:tabs>
      <w:spacing w:before="360" w:after="0"/>
      <w:ind w:left="-850" w:right="-850"/>
      <w:jc w:val="left"/>
    </w:pPr>
  </w:style>
  <w:style w:type="character" w:customStyle="1" w:styleId="BunntekstTegn">
    <w:name w:val="Bunntekst Tegn"/>
    <w:basedOn w:val="Standardskriftforavsnitt"/>
    <w:link w:val="Bunntekst"/>
    <w:uiPriority w:val="99"/>
    <w:semiHidden/>
    <w:rPr>
      <w:rFonts w:ascii="Times New Roman" w:hAnsi="Times New Roman" w:cs="Times New Roman"/>
      <w:sz w:val="24"/>
      <w:shd w:val="clear" w:color="auto" w:fill="auto"/>
      <w:lang w:val="en-GB"/>
    </w:rPr>
  </w:style>
  <w:style w:type="paragraph" w:styleId="Fotnotetekst">
    <w:name w:val="footnote text"/>
    <w:basedOn w:val="Normal"/>
    <w:link w:val="FotnotetekstTegn"/>
    <w:uiPriority w:val="99"/>
    <w:semiHidden/>
    <w:unhideWhenUsed/>
    <w:pPr>
      <w:spacing w:before="0" w:after="0"/>
      <w:ind w:left="720" w:hanging="720"/>
    </w:pPr>
    <w:rPr>
      <w:sz w:val="20"/>
      <w:szCs w:val="20"/>
    </w:rPr>
  </w:style>
  <w:style w:type="character" w:customStyle="1" w:styleId="FotnotetekstTegn">
    <w:name w:val="Fotnotetekst Tegn"/>
    <w:basedOn w:val="Standardskriftforavsnitt"/>
    <w:link w:val="Fotnotetekst"/>
    <w:uiPriority w:val="99"/>
    <w:semiHidden/>
    <w:rPr>
      <w:rFonts w:ascii="Times New Roman" w:hAnsi="Times New Roman" w:cs="Times New Roman"/>
      <w:sz w:val="20"/>
      <w:szCs w:val="20"/>
      <w:shd w:val="clear" w:color="auto" w:fill="auto"/>
      <w:lang w:val="en-GB"/>
    </w:rPr>
  </w:style>
  <w:style w:type="character" w:customStyle="1" w:styleId="Overskrift1Tegn">
    <w:name w:val="Overskrift 1 Tegn"/>
    <w:basedOn w:val="Standardskriftforavsnitt"/>
    <w:link w:val="Overskrift1"/>
    <w:uiPriority w:val="9"/>
    <w:rPr>
      <w:rFonts w:ascii="Times New Roman" w:eastAsiaTheme="majorEastAsia" w:hAnsi="Times New Roman" w:cs="Times New Roman"/>
      <w:b/>
      <w:bCs/>
      <w:smallCaps/>
      <w:sz w:val="24"/>
      <w:szCs w:val="28"/>
      <w:lang w:val="en-GB"/>
    </w:rPr>
  </w:style>
  <w:style w:type="character" w:customStyle="1" w:styleId="Overskrift2Tegn">
    <w:name w:val="Overskrift 2 Tegn"/>
    <w:basedOn w:val="Standardskriftforavsnitt"/>
    <w:link w:val="Overskrift2"/>
    <w:uiPriority w:val="9"/>
    <w:semiHidden/>
    <w:rPr>
      <w:rFonts w:ascii="Times New Roman" w:eastAsiaTheme="majorEastAsia" w:hAnsi="Times New Roman" w:cs="Times New Roman"/>
      <w:b/>
      <w:bCs/>
      <w:sz w:val="24"/>
      <w:szCs w:val="26"/>
      <w:lang w:val="en-GB"/>
    </w:rPr>
  </w:style>
  <w:style w:type="character" w:customStyle="1" w:styleId="Overskrift3Tegn">
    <w:name w:val="Overskrift 3 Tegn"/>
    <w:basedOn w:val="Standardskriftforavsnitt"/>
    <w:link w:val="Overskrift3"/>
    <w:uiPriority w:val="9"/>
    <w:semiHidden/>
    <w:rPr>
      <w:rFonts w:ascii="Times New Roman" w:eastAsiaTheme="majorEastAsia" w:hAnsi="Times New Roman" w:cs="Times New Roman"/>
      <w:bCs/>
      <w:i/>
      <w:sz w:val="24"/>
      <w:lang w:val="en-GB"/>
    </w:rPr>
  </w:style>
  <w:style w:type="character" w:customStyle="1" w:styleId="Overskrift4Tegn">
    <w:name w:val="Overskrift 4 Tegn"/>
    <w:basedOn w:val="Standardskriftforavsnitt"/>
    <w:link w:val="Overskrift4"/>
    <w:uiPriority w:val="9"/>
    <w:semiHidden/>
    <w:rPr>
      <w:rFonts w:ascii="Times New Roman" w:eastAsiaTheme="majorEastAsia" w:hAnsi="Times New Roman" w:cs="Times New Roman"/>
      <w:bCs/>
      <w:iCs/>
      <w:sz w:val="24"/>
      <w:lang w:val="en-GB"/>
    </w:rPr>
  </w:style>
  <w:style w:type="character" w:customStyle="1" w:styleId="Overskrift5Tegn">
    <w:name w:val="Overskrift 5 Tegn"/>
    <w:basedOn w:val="Standardskriftforavsnitt"/>
    <w:link w:val="Overskrift5"/>
    <w:uiPriority w:val="9"/>
    <w:semiHidden/>
    <w:rPr>
      <w:rFonts w:ascii="Times New Roman" w:eastAsiaTheme="majorEastAsia" w:hAnsi="Times New Roman" w:cs="Times New Roman"/>
      <w:sz w:val="24"/>
      <w:lang w:val="en-GB"/>
    </w:rPr>
  </w:style>
  <w:style w:type="character" w:customStyle="1" w:styleId="Overskrift6Tegn">
    <w:name w:val="Overskrift 6 Tegn"/>
    <w:basedOn w:val="Standardskriftforavsnitt"/>
    <w:link w:val="Overskrift6"/>
    <w:uiPriority w:val="9"/>
    <w:semiHidden/>
    <w:rPr>
      <w:rFonts w:ascii="Times New Roman" w:eastAsiaTheme="majorEastAsia" w:hAnsi="Times New Roman" w:cs="Times New Roman"/>
      <w:iCs/>
      <w:sz w:val="24"/>
      <w:lang w:val="en-GB"/>
    </w:rPr>
  </w:style>
  <w:style w:type="character" w:customStyle="1" w:styleId="Overskrift7Tegn">
    <w:name w:val="Overskrift 7 Tegn"/>
    <w:basedOn w:val="Standardskriftforavsnitt"/>
    <w:link w:val="Overskrift7"/>
    <w:uiPriority w:val="9"/>
    <w:semiHidden/>
    <w:rPr>
      <w:rFonts w:ascii="Times New Roman" w:eastAsiaTheme="majorEastAsia" w:hAnsi="Times New Roman" w:cs="Times New Roman"/>
      <w:iCs/>
      <w:sz w:val="24"/>
      <w:lang w:val="en-GB"/>
    </w:rPr>
  </w:style>
  <w:style w:type="paragraph" w:styleId="Overskriftforinnholdsfortegnelse">
    <w:name w:val="TOC Heading"/>
    <w:basedOn w:val="Normal"/>
    <w:next w:val="Normal"/>
    <w:uiPriority w:val="39"/>
    <w:semiHidden/>
    <w:unhideWhenUsed/>
    <w:qFormat/>
    <w:pPr>
      <w:spacing w:after="240"/>
      <w:jc w:val="center"/>
    </w:pPr>
    <w:rPr>
      <w:b/>
      <w:sz w:val="28"/>
    </w:rPr>
  </w:style>
  <w:style w:type="paragraph" w:styleId="INNH1">
    <w:name w:val="toc 1"/>
    <w:basedOn w:val="Normal"/>
    <w:next w:val="Normal"/>
    <w:uiPriority w:val="39"/>
    <w:semiHidden/>
    <w:unhideWhenUsed/>
    <w:pPr>
      <w:tabs>
        <w:tab w:val="right" w:leader="dot" w:pos="9071"/>
      </w:tabs>
      <w:spacing w:before="60"/>
      <w:ind w:left="850" w:hanging="850"/>
      <w:jc w:val="left"/>
    </w:pPr>
  </w:style>
  <w:style w:type="paragraph" w:styleId="INNH2">
    <w:name w:val="toc 2"/>
    <w:basedOn w:val="Normal"/>
    <w:next w:val="Normal"/>
    <w:uiPriority w:val="39"/>
    <w:semiHidden/>
    <w:unhideWhenUsed/>
    <w:pPr>
      <w:tabs>
        <w:tab w:val="right" w:leader="dot" w:pos="9071"/>
      </w:tabs>
      <w:spacing w:before="60"/>
      <w:ind w:left="850" w:hanging="850"/>
      <w:jc w:val="left"/>
    </w:pPr>
  </w:style>
  <w:style w:type="paragraph" w:styleId="INNH3">
    <w:name w:val="toc 3"/>
    <w:basedOn w:val="Normal"/>
    <w:next w:val="Normal"/>
    <w:uiPriority w:val="39"/>
    <w:semiHidden/>
    <w:unhideWhenUsed/>
    <w:pPr>
      <w:tabs>
        <w:tab w:val="right" w:leader="dot" w:pos="9071"/>
      </w:tabs>
      <w:spacing w:before="60"/>
      <w:ind w:left="850" w:hanging="850"/>
      <w:jc w:val="left"/>
    </w:pPr>
  </w:style>
  <w:style w:type="paragraph" w:styleId="INNH4">
    <w:name w:val="toc 4"/>
    <w:basedOn w:val="Normal"/>
    <w:next w:val="Normal"/>
    <w:uiPriority w:val="39"/>
    <w:semiHidden/>
    <w:unhideWhenUsed/>
    <w:pPr>
      <w:tabs>
        <w:tab w:val="right" w:leader="dot" w:pos="9071"/>
      </w:tabs>
      <w:spacing w:before="60"/>
      <w:ind w:left="850" w:hanging="850"/>
      <w:jc w:val="left"/>
    </w:pPr>
  </w:style>
  <w:style w:type="paragraph" w:styleId="INNH5">
    <w:name w:val="toc 5"/>
    <w:basedOn w:val="Normal"/>
    <w:next w:val="Normal"/>
    <w:uiPriority w:val="39"/>
    <w:semiHidden/>
    <w:unhideWhenUsed/>
    <w:pPr>
      <w:tabs>
        <w:tab w:val="right" w:leader="dot" w:pos="9071"/>
      </w:tabs>
      <w:spacing w:before="300"/>
      <w:jc w:val="left"/>
    </w:pPr>
  </w:style>
  <w:style w:type="paragraph" w:styleId="INNH6">
    <w:name w:val="toc 6"/>
    <w:basedOn w:val="Normal"/>
    <w:next w:val="Normal"/>
    <w:uiPriority w:val="39"/>
    <w:semiHidden/>
    <w:unhideWhenUsed/>
    <w:pPr>
      <w:tabs>
        <w:tab w:val="right" w:leader="dot" w:pos="9071"/>
      </w:tabs>
      <w:spacing w:before="240"/>
      <w:jc w:val="left"/>
    </w:pPr>
  </w:style>
  <w:style w:type="paragraph" w:styleId="INNH7">
    <w:name w:val="toc 7"/>
    <w:basedOn w:val="Normal"/>
    <w:next w:val="Normal"/>
    <w:uiPriority w:val="39"/>
    <w:semiHidden/>
    <w:unhideWhenUsed/>
    <w:pPr>
      <w:tabs>
        <w:tab w:val="right" w:leader="dot" w:pos="9071"/>
      </w:tabs>
      <w:spacing w:before="180"/>
      <w:jc w:val="left"/>
    </w:pPr>
  </w:style>
  <w:style w:type="paragraph" w:styleId="INNH8">
    <w:name w:val="toc 8"/>
    <w:basedOn w:val="Normal"/>
    <w:next w:val="Normal"/>
    <w:uiPriority w:val="39"/>
    <w:semiHidden/>
    <w:unhideWhenUsed/>
    <w:pPr>
      <w:tabs>
        <w:tab w:val="right" w:leader="dot" w:pos="9071"/>
      </w:tabs>
      <w:jc w:val="left"/>
    </w:pPr>
  </w:style>
  <w:style w:type="paragraph" w:styleId="INNH9">
    <w:name w:val="toc 9"/>
    <w:basedOn w:val="Normal"/>
    <w:next w:val="Normal"/>
    <w:uiPriority w:val="39"/>
    <w:semiHidden/>
    <w:unhideWhenUsed/>
    <w:pPr>
      <w:tabs>
        <w:tab w:val="right" w:leader="dot" w:pos="9071"/>
      </w:tabs>
      <w:ind w:left="1417" w:hanging="1417"/>
      <w:jc w:val="left"/>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tnotereferanse">
    <w:name w:val="footnote reference"/>
    <w:basedOn w:val="Standardskriftforavsnit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Tiret5">
    <w:name w:val="Tiret 5"/>
    <w:basedOn w:val="Point5"/>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NumPar5">
    <w:name w:val="NumPar 5"/>
    <w:basedOn w:val="Normal"/>
    <w:next w:val="Text2"/>
    <w:pPr>
      <w:numPr>
        <w:ilvl w:val="4"/>
        <w:numId w:val="30"/>
      </w:numPr>
    </w:pPr>
  </w:style>
  <w:style w:type="paragraph" w:customStyle="1" w:styleId="NumPar6">
    <w:name w:val="NumPar 6"/>
    <w:basedOn w:val="Normal"/>
    <w:next w:val="Text2"/>
    <w:pPr>
      <w:numPr>
        <w:ilvl w:val="5"/>
        <w:numId w:val="30"/>
      </w:numPr>
    </w:pPr>
  </w:style>
  <w:style w:type="paragraph" w:customStyle="1" w:styleId="NumPar7">
    <w:name w:val="NumPar 7"/>
    <w:basedOn w:val="Normal"/>
    <w:next w:val="Text2"/>
    <w:pPr>
      <w:numPr>
        <w:ilvl w:val="6"/>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Overskrift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Standardskriftforavsnitt"/>
    <w:rPr>
      <w:color w:val="0000FF"/>
      <w:shd w:val="clear" w:color="auto" w:fill="auto"/>
    </w:rPr>
  </w:style>
  <w:style w:type="character" w:customStyle="1" w:styleId="Marker1">
    <w:name w:val="Marker1"/>
    <w:basedOn w:val="Standardskriftforavsnitt"/>
    <w:rPr>
      <w:color w:val="008000"/>
      <w:shd w:val="clear" w:color="auto" w:fill="auto"/>
    </w:rPr>
  </w:style>
  <w:style w:type="character" w:customStyle="1" w:styleId="Marker2">
    <w:name w:val="Marker2"/>
    <w:basedOn w:val="Standardskriftforavsnit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Standardskriftforavsnitt"/>
    <w:rPr>
      <w:b/>
      <w:u w:val="single"/>
      <w:shd w:val="clear" w:color="auto" w:fill="auto"/>
    </w:rPr>
  </w:style>
  <w:style w:type="character" w:customStyle="1" w:styleId="Deleted">
    <w:name w:val="Deleted"/>
    <w:basedOn w:val="Standardskriftforavsnit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1305">
      <w:bodyDiv w:val="1"/>
      <w:marLeft w:val="0"/>
      <w:marRight w:val="0"/>
      <w:marTop w:val="0"/>
      <w:marBottom w:val="0"/>
      <w:divBdr>
        <w:top w:val="none" w:sz="0" w:space="0" w:color="auto"/>
        <w:left w:val="none" w:sz="0" w:space="0" w:color="auto"/>
        <w:bottom w:val="none" w:sz="0" w:space="0" w:color="auto"/>
        <w:right w:val="none" w:sz="0" w:space="0" w:color="auto"/>
      </w:divBdr>
    </w:div>
    <w:div w:id="704990865">
      <w:bodyDiv w:val="1"/>
      <w:marLeft w:val="0"/>
      <w:marRight w:val="0"/>
      <w:marTop w:val="0"/>
      <w:marBottom w:val="0"/>
      <w:divBdr>
        <w:top w:val="none" w:sz="0" w:space="0" w:color="auto"/>
        <w:left w:val="none" w:sz="0" w:space="0" w:color="auto"/>
        <w:bottom w:val="none" w:sz="0" w:space="0" w:color="auto"/>
        <w:right w:val="none" w:sz="0" w:space="0" w:color="auto"/>
      </w:divBdr>
    </w:div>
    <w:div w:id="1061292421">
      <w:bodyDiv w:val="1"/>
      <w:marLeft w:val="0"/>
      <w:marRight w:val="0"/>
      <w:marTop w:val="0"/>
      <w:marBottom w:val="0"/>
      <w:divBdr>
        <w:top w:val="none" w:sz="0" w:space="0" w:color="auto"/>
        <w:left w:val="none" w:sz="0" w:space="0" w:color="auto"/>
        <w:bottom w:val="none" w:sz="0" w:space="0" w:color="auto"/>
        <w:right w:val="none" w:sz="0" w:space="0" w:color="auto"/>
      </w:divBdr>
    </w:div>
    <w:div w:id="188563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4596B7D23C1DA409459779D4B7EB344" ma:contentTypeVersion="12" ma:contentTypeDescription="Opprett et nytt dokument." ma:contentTypeScope="" ma:versionID="220f180cd7a94bebee6d36cbc06ef635">
  <xsd:schema xmlns:xsd="http://www.w3.org/2001/XMLSchema" xmlns:xs="http://www.w3.org/2001/XMLSchema" xmlns:p="http://schemas.microsoft.com/office/2006/metadata/properties" xmlns:ns2="3c549ff6-bee0-4a9b-a476-4cd6feb54b7a" xmlns:ns3="08670d86-fc33-4f61-bf51-96e019343c8b" xmlns:ns4="a9dd7b27-b1d7-43ad-85c8-ae66512cf1c2" targetNamespace="http://schemas.microsoft.com/office/2006/metadata/properties" ma:root="true" ma:fieldsID="b54cb0587fb289ef4095d5cf392ea0ff" ns2:_="" ns3:_="" ns4:_="">
    <xsd:import namespace="3c549ff6-bee0-4a9b-a476-4cd6feb54b7a"/>
    <xsd:import namespace="08670d86-fc33-4f61-bf51-96e019343c8b"/>
    <xsd:import namespace="a9dd7b27-b1d7-43ad-85c8-ae66512cf1c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49ff6-bee0-4a9b-a476-4cd6feb54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emerkelapper" ma:readOnly="false" ma:fieldId="{5cf76f15-5ced-4ddc-b409-7134ff3c332f}" ma:taxonomyMulti="true" ma:sspId="64152832-9f03-4628-8f8a-984f7e09cd8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670d86-fc33-4f61-bf51-96e019343c8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66854ad-c359-45b7-a785-3bd7ed41c2fe}" ma:internalName="TaxCatchAll" ma:showField="CatchAllData" ma:web="a9dd7b27-b1d7-43ad-85c8-ae66512cf1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dd7b27-b1d7-43ad-85c8-ae66512cf1c2"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8670d86-fc33-4f61-bf51-96e019343c8b"/>
    <lcf76f155ced4ddcb4097134ff3c332f xmlns="3c549ff6-bee0-4a9b-a476-4cd6feb54b7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64026E-1840-4DED-AF92-B6665E557BA4}">
  <ds:schemaRefs>
    <ds:schemaRef ds:uri="http://schemas.openxmlformats.org/officeDocument/2006/bibliography"/>
  </ds:schemaRefs>
</ds:datastoreItem>
</file>

<file path=customXml/itemProps2.xml><?xml version="1.0" encoding="utf-8"?>
<ds:datastoreItem xmlns:ds="http://schemas.openxmlformats.org/officeDocument/2006/customXml" ds:itemID="{7ADBC5A7-6964-48D8-A05F-2E89177A2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49ff6-bee0-4a9b-a476-4cd6feb54b7a"/>
    <ds:schemaRef ds:uri="08670d86-fc33-4f61-bf51-96e019343c8b"/>
    <ds:schemaRef ds:uri="a9dd7b27-b1d7-43ad-85c8-ae66512cf1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9DE793-F3B0-4339-ADEA-62A18B36EF36}">
  <ds:schemaRefs>
    <ds:schemaRef ds:uri="http://schemas.microsoft.com/sharepoint/v3/contenttype/forms"/>
  </ds:schemaRefs>
</ds:datastoreItem>
</file>

<file path=customXml/itemProps4.xml><?xml version="1.0" encoding="utf-8"?>
<ds:datastoreItem xmlns:ds="http://schemas.openxmlformats.org/officeDocument/2006/customXml" ds:itemID="{97064453-3A13-4614-B3A5-ED1EF99C8C7E}">
  <ds:schemaRefs>
    <ds:schemaRef ds:uri="http://purl.org/dc/terms/"/>
    <ds:schemaRef ds:uri="http://purl.org/dc/dcmitype/"/>
    <ds:schemaRef ds:uri="http://schemas.microsoft.com/office/infopath/2007/PartnerControls"/>
    <ds:schemaRef ds:uri="a9dd7b27-b1d7-43ad-85c8-ae66512cf1c2"/>
    <ds:schemaRef ds:uri="http://schemas.microsoft.com/office/2006/documentManagement/types"/>
    <ds:schemaRef ds:uri="http://purl.org/dc/elements/1.1/"/>
    <ds:schemaRef ds:uri="http://schemas.microsoft.com/office/2006/metadata/properties"/>
    <ds:schemaRef ds:uri="http://www.w3.org/XML/1998/namespace"/>
    <ds:schemaRef ds:uri="http://schemas.openxmlformats.org/package/2006/metadata/core-properties"/>
    <ds:schemaRef ds:uri="08670d86-fc33-4f61-bf51-96e019343c8b"/>
    <ds:schemaRef ds:uri="3c549ff6-bee0-4a9b-a476-4cd6feb54b7a"/>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9</Pages>
  <Words>2740</Words>
  <Characters>14523</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2022-10-24T15:35:00Z</dcterms:created>
  <dcterms:modified xsi:type="dcterms:W3CDTF">2022-10-24T15:35:00Z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Category">
    <vt:lpwstr>COM/AA</vt:lpwstr>
  </property>
  <property fmtid="{D5CDD505-2E9C-101B-9397-08002B2CF9AE}" pid="4" name="Last edited using">
    <vt:lpwstr>LW 8.1, Build 20220902</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SJ-003</vt:lpwstr>
  </property>
  <property fmtid="{D5CDD505-2E9C-101B-9397-08002B2CF9AE}" pid="8" name="DQCStatus">
    <vt:lpwstr>Green (DQC version 03)</vt:lpwstr>
  </property>
  <property fmtid="{D5CDD505-2E9C-101B-9397-08002B2CF9AE}" pid="9" name="ContentTypeId">
    <vt:lpwstr>0x01010054596B7D23C1DA409459779D4B7EB344</vt:lpwstr>
  </property>
</Properties>
</file>