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enett"/>
        <w:tblW w:w="0" w:type="auto"/>
        <w:jc w:val="center"/>
        <w:tblLayout w:type="fixed"/>
        <w:tblLook w:val="04A0" w:firstRow="1" w:lastRow="0" w:firstColumn="1" w:lastColumn="0" w:noHBand="0" w:noVBand="1"/>
      </w:tblPr>
      <w:tblGrid>
        <w:gridCol w:w="2263"/>
        <w:gridCol w:w="7082"/>
      </w:tblGrid>
      <w:tr w:rsidR="002B10DD" w:rsidRPr="00441E78" w14:paraId="0FF55763" w14:textId="77777777" w:rsidTr="18D775C8">
        <w:trPr>
          <w:jc w:val="center"/>
        </w:trPr>
        <w:tc>
          <w:tcPr>
            <w:tcW w:w="9345" w:type="dxa"/>
            <w:gridSpan w:val="2"/>
            <w:tcBorders>
              <w:bottom w:val="single" w:sz="4" w:space="0" w:color="auto"/>
            </w:tcBorders>
            <w:shd w:val="clear" w:color="auto" w:fill="D9D9D9" w:themeFill="background1" w:themeFillShade="D9"/>
          </w:tcPr>
          <w:p w14:paraId="0FF55762" w14:textId="085FFE9E" w:rsidR="002B10DD" w:rsidRPr="00441E78" w:rsidRDefault="00D35ACD" w:rsidP="00AF598E">
            <w:pPr>
              <w:pStyle w:val="Brdtekst"/>
              <w:spacing w:after="0"/>
              <w:rPr>
                <w:rFonts w:ascii="Times New Roman" w:hAnsi="Times New Roman" w:cs="Times New Roman"/>
                <w:b/>
              </w:rPr>
            </w:pPr>
            <w:r>
              <w:rPr>
                <w:rFonts w:ascii="Times New Roman" w:hAnsi="Times New Roman" w:cs="Times New Roman"/>
                <w:b/>
              </w:rPr>
              <w:t>-</w:t>
            </w:r>
            <w:r w:rsidR="00AF598E" w:rsidRPr="00441E78">
              <w:rPr>
                <w:rFonts w:ascii="Times New Roman" w:hAnsi="Times New Roman" w:cs="Times New Roman"/>
                <w:b/>
              </w:rPr>
              <w:t>Overordnet:</w:t>
            </w:r>
          </w:p>
        </w:tc>
      </w:tr>
      <w:tr w:rsidR="00342B1D" w:rsidRPr="00441E78" w14:paraId="0FF55766" w14:textId="77777777" w:rsidTr="18D775C8">
        <w:trPr>
          <w:jc w:val="center"/>
        </w:trPr>
        <w:tc>
          <w:tcPr>
            <w:tcW w:w="2263" w:type="dxa"/>
            <w:shd w:val="clear" w:color="auto" w:fill="auto"/>
          </w:tcPr>
          <w:p w14:paraId="0FF55764" w14:textId="77777777" w:rsidR="00342B1D" w:rsidRPr="00441E78" w:rsidRDefault="00AF598E" w:rsidP="002B10DD">
            <w:pPr>
              <w:pStyle w:val="Brdtekst"/>
              <w:rPr>
                <w:rFonts w:ascii="Times New Roman" w:hAnsi="Times New Roman" w:cs="Times New Roman"/>
                <w:b/>
              </w:rPr>
            </w:pPr>
            <w:r w:rsidRPr="00441E78">
              <w:rPr>
                <w:rFonts w:ascii="Times New Roman" w:hAnsi="Times New Roman" w:cs="Times New Roman"/>
                <w:b/>
              </w:rPr>
              <w:t>Hensikt med dokumentet:</w:t>
            </w:r>
          </w:p>
        </w:tc>
        <w:tc>
          <w:tcPr>
            <w:tcW w:w="7082" w:type="dxa"/>
            <w:shd w:val="clear" w:color="auto" w:fill="auto"/>
          </w:tcPr>
          <w:p w14:paraId="0FF55765" w14:textId="479085D8" w:rsidR="00342B1D" w:rsidRPr="00441E78" w:rsidRDefault="00746468" w:rsidP="002B7D3C">
            <w:pPr>
              <w:pStyle w:val="Brdtekst"/>
              <w:rPr>
                <w:rFonts w:ascii="Times New Roman" w:hAnsi="Times New Roman" w:cs="Times New Roman"/>
              </w:rPr>
            </w:pPr>
            <w:r>
              <w:t xml:space="preserve">Formålet med denne planen er å sikre samlet og helhetlig styring av NVEs totale tilsynsvirksomhet. </w:t>
            </w:r>
            <w:r w:rsidR="00952D2A">
              <w:t>Tilsyns</w:t>
            </w:r>
            <w:r>
              <w:t xml:space="preserve">planen konkretiserer de mål og tiltak som er satt i NVEs strategi innenfor de ulike tilsynsområdene. </w:t>
            </w:r>
            <w:r w:rsidR="00952D2A">
              <w:t>P</w:t>
            </w:r>
            <w:r>
              <w:t xml:space="preserve">lanen må sees i sammenheng med </w:t>
            </w:r>
            <w:r w:rsidR="3044AF5C">
              <w:t>seksjonenes virksomhetsplaner</w:t>
            </w:r>
            <w:r>
              <w:t xml:space="preserve">. </w:t>
            </w:r>
          </w:p>
        </w:tc>
      </w:tr>
      <w:tr w:rsidR="00342B1D" w:rsidRPr="00441E78" w14:paraId="0FF55769" w14:textId="77777777" w:rsidTr="18D775C8">
        <w:trPr>
          <w:jc w:val="center"/>
        </w:trPr>
        <w:tc>
          <w:tcPr>
            <w:tcW w:w="2263" w:type="dxa"/>
            <w:shd w:val="clear" w:color="auto" w:fill="auto"/>
          </w:tcPr>
          <w:p w14:paraId="0FF55767" w14:textId="77777777" w:rsidR="00342B1D" w:rsidRPr="00441E78" w:rsidRDefault="00342B1D" w:rsidP="002B10DD">
            <w:pPr>
              <w:pStyle w:val="Brdtekst"/>
              <w:rPr>
                <w:rFonts w:ascii="Times New Roman" w:hAnsi="Times New Roman" w:cs="Times New Roman"/>
                <w:b/>
              </w:rPr>
            </w:pPr>
            <w:r w:rsidRPr="00441E78">
              <w:rPr>
                <w:rFonts w:ascii="Times New Roman" w:hAnsi="Times New Roman" w:cs="Times New Roman"/>
                <w:b/>
              </w:rPr>
              <w:t>Målgruppe</w:t>
            </w:r>
            <w:r w:rsidR="00AF598E" w:rsidRPr="00441E78">
              <w:rPr>
                <w:rFonts w:ascii="Times New Roman" w:hAnsi="Times New Roman" w:cs="Times New Roman"/>
                <w:b/>
              </w:rPr>
              <w:t xml:space="preserve"> for dokumentet:</w:t>
            </w:r>
          </w:p>
        </w:tc>
        <w:tc>
          <w:tcPr>
            <w:tcW w:w="7082" w:type="dxa"/>
            <w:shd w:val="clear" w:color="auto" w:fill="auto"/>
          </w:tcPr>
          <w:p w14:paraId="0FF55768" w14:textId="6E17F563" w:rsidR="00342B1D" w:rsidRPr="00441E78" w:rsidRDefault="008B6D7A" w:rsidP="002B10DD">
            <w:pPr>
              <w:pStyle w:val="Brdtekst"/>
              <w:rPr>
                <w:rFonts w:ascii="Times New Roman" w:hAnsi="Times New Roman" w:cs="Times New Roman"/>
              </w:rPr>
            </w:pPr>
            <w:r>
              <w:rPr>
                <w:rFonts w:ascii="Times New Roman" w:hAnsi="Times New Roman" w:cs="Times New Roman"/>
              </w:rPr>
              <w:t>Vann- og energibransjen,</w:t>
            </w:r>
            <w:r w:rsidR="008E506F">
              <w:rPr>
                <w:rFonts w:ascii="Times New Roman" w:hAnsi="Times New Roman" w:cs="Times New Roman"/>
              </w:rPr>
              <w:t xml:space="preserve"> energiforb</w:t>
            </w:r>
            <w:r w:rsidR="00E37B1E">
              <w:rPr>
                <w:rFonts w:ascii="Times New Roman" w:hAnsi="Times New Roman" w:cs="Times New Roman"/>
              </w:rPr>
              <w:t>r</w:t>
            </w:r>
            <w:r w:rsidR="008E506F">
              <w:rPr>
                <w:rFonts w:ascii="Times New Roman" w:hAnsi="Times New Roman" w:cs="Times New Roman"/>
              </w:rPr>
              <w:t>ukere</w:t>
            </w:r>
            <w:r w:rsidR="00E37B1E">
              <w:rPr>
                <w:rFonts w:ascii="Times New Roman" w:hAnsi="Times New Roman" w:cs="Times New Roman"/>
              </w:rPr>
              <w:t xml:space="preserve"> og</w:t>
            </w:r>
            <w:r>
              <w:rPr>
                <w:rFonts w:ascii="Times New Roman" w:hAnsi="Times New Roman" w:cs="Times New Roman"/>
              </w:rPr>
              <w:t xml:space="preserve"> NVE</w:t>
            </w:r>
          </w:p>
        </w:tc>
      </w:tr>
    </w:tbl>
    <w:p w14:paraId="0FF5576A" w14:textId="77777777" w:rsidR="00746468" w:rsidRPr="00FD1B76" w:rsidRDefault="00746468" w:rsidP="00746468">
      <w:pPr>
        <w:pStyle w:val="Overskrift1"/>
      </w:pPr>
      <w:r>
        <w:t>1</w:t>
      </w:r>
      <w:r>
        <w:tab/>
      </w:r>
      <w:r w:rsidRPr="00FD1B76">
        <w:t xml:space="preserve">Metoder </w:t>
      </w:r>
    </w:p>
    <w:p w14:paraId="0FF5576B" w14:textId="1CCBA174" w:rsidR="00746468" w:rsidRDefault="00746468" w:rsidP="00746468">
      <w:pPr>
        <w:pStyle w:val="Overskrift1"/>
        <w:rPr>
          <w:b w:val="0"/>
          <w:bCs w:val="0"/>
          <w:kern w:val="0"/>
          <w:sz w:val="22"/>
          <w:szCs w:val="22"/>
        </w:rPr>
      </w:pPr>
      <w:r w:rsidRPr="00F442C4">
        <w:rPr>
          <w:b w:val="0"/>
          <w:bCs w:val="0"/>
          <w:kern w:val="0"/>
          <w:sz w:val="22"/>
          <w:szCs w:val="22"/>
        </w:rPr>
        <w:t xml:space="preserve">NVEs </w:t>
      </w:r>
      <w:r>
        <w:rPr>
          <w:b w:val="0"/>
          <w:bCs w:val="0"/>
          <w:kern w:val="0"/>
          <w:sz w:val="22"/>
          <w:szCs w:val="22"/>
        </w:rPr>
        <w:t>«Prosedyrer for kontro</w:t>
      </w:r>
      <w:r w:rsidR="002E59CF">
        <w:rPr>
          <w:b w:val="0"/>
          <w:bCs w:val="0"/>
          <w:kern w:val="0"/>
          <w:sz w:val="22"/>
          <w:szCs w:val="22"/>
        </w:rPr>
        <w:t>ll» og «Prosedyre for reaksjonsbruk i NVE</w:t>
      </w:r>
      <w:r>
        <w:rPr>
          <w:b w:val="0"/>
          <w:bCs w:val="0"/>
          <w:kern w:val="0"/>
          <w:sz w:val="22"/>
          <w:szCs w:val="22"/>
        </w:rPr>
        <w:t>»</w:t>
      </w:r>
      <w:r w:rsidR="00D66460">
        <w:rPr>
          <w:b w:val="0"/>
          <w:bCs w:val="0"/>
          <w:kern w:val="0"/>
          <w:sz w:val="22"/>
          <w:szCs w:val="22"/>
        </w:rPr>
        <w:t xml:space="preserve"> er grunnlaget for etatens tilsynsarbeid. Flere kontroll</w:t>
      </w:r>
      <w:r w:rsidRPr="00F442C4">
        <w:rPr>
          <w:b w:val="0"/>
          <w:bCs w:val="0"/>
          <w:kern w:val="0"/>
          <w:sz w:val="22"/>
          <w:szCs w:val="22"/>
        </w:rPr>
        <w:t>metode</w:t>
      </w:r>
      <w:r w:rsidR="00D66460">
        <w:rPr>
          <w:b w:val="0"/>
          <w:bCs w:val="0"/>
          <w:kern w:val="0"/>
          <w:sz w:val="22"/>
          <w:szCs w:val="22"/>
        </w:rPr>
        <w:t>r benyttes, men</w:t>
      </w:r>
      <w:r w:rsidRPr="00F442C4">
        <w:rPr>
          <w:b w:val="0"/>
          <w:bCs w:val="0"/>
          <w:kern w:val="0"/>
          <w:sz w:val="22"/>
          <w:szCs w:val="22"/>
        </w:rPr>
        <w:t xml:space="preserve"> revisjoner</w:t>
      </w:r>
      <w:r w:rsidR="00D66460">
        <w:rPr>
          <w:b w:val="0"/>
          <w:bCs w:val="0"/>
          <w:kern w:val="0"/>
          <w:sz w:val="22"/>
          <w:szCs w:val="22"/>
        </w:rPr>
        <w:t>,</w:t>
      </w:r>
      <w:r w:rsidRPr="00F442C4">
        <w:rPr>
          <w:b w:val="0"/>
          <w:bCs w:val="0"/>
          <w:kern w:val="0"/>
          <w:sz w:val="22"/>
          <w:szCs w:val="22"/>
        </w:rPr>
        <w:t xml:space="preserve"> inspeksjoner</w:t>
      </w:r>
      <w:r w:rsidR="008B556C">
        <w:rPr>
          <w:b w:val="0"/>
          <w:bCs w:val="0"/>
          <w:kern w:val="0"/>
          <w:sz w:val="22"/>
          <w:szCs w:val="22"/>
        </w:rPr>
        <w:t>, dokumentkontroll</w:t>
      </w:r>
      <w:r w:rsidRPr="00F442C4">
        <w:rPr>
          <w:b w:val="0"/>
          <w:bCs w:val="0"/>
          <w:kern w:val="0"/>
          <w:sz w:val="22"/>
          <w:szCs w:val="22"/>
        </w:rPr>
        <w:t xml:space="preserve"> </w:t>
      </w:r>
      <w:r w:rsidR="00D66460">
        <w:rPr>
          <w:b w:val="0"/>
          <w:bCs w:val="0"/>
          <w:kern w:val="0"/>
          <w:sz w:val="22"/>
          <w:szCs w:val="22"/>
        </w:rPr>
        <w:t>og innrapportering er de mest vanlige</w:t>
      </w:r>
      <w:r w:rsidRPr="00F442C4">
        <w:rPr>
          <w:b w:val="0"/>
          <w:bCs w:val="0"/>
          <w:kern w:val="0"/>
          <w:sz w:val="22"/>
          <w:szCs w:val="22"/>
        </w:rPr>
        <w:t xml:space="preserve">. </w:t>
      </w:r>
      <w:r w:rsidR="00236BFB">
        <w:rPr>
          <w:b w:val="0"/>
          <w:bCs w:val="0"/>
          <w:kern w:val="0"/>
          <w:sz w:val="22"/>
          <w:szCs w:val="22"/>
        </w:rPr>
        <w:t xml:space="preserve">Metodene varierer i </w:t>
      </w:r>
      <w:r w:rsidR="006C0E5C">
        <w:rPr>
          <w:b w:val="0"/>
          <w:bCs w:val="0"/>
          <w:kern w:val="0"/>
          <w:sz w:val="22"/>
          <w:szCs w:val="22"/>
        </w:rPr>
        <w:t xml:space="preserve">kompleksitet og omfang. </w:t>
      </w:r>
      <w:r w:rsidR="00EE6018">
        <w:rPr>
          <w:b w:val="0"/>
          <w:bCs w:val="0"/>
          <w:kern w:val="0"/>
          <w:sz w:val="22"/>
          <w:szCs w:val="22"/>
        </w:rPr>
        <w:t xml:space="preserve">Mens revisjoner er </w:t>
      </w:r>
      <w:r w:rsidR="00A514FF">
        <w:rPr>
          <w:b w:val="0"/>
          <w:bCs w:val="0"/>
          <w:kern w:val="0"/>
          <w:sz w:val="22"/>
          <w:szCs w:val="22"/>
        </w:rPr>
        <w:t>en omfattende prosess</w:t>
      </w:r>
      <w:r w:rsidR="00F30172">
        <w:rPr>
          <w:b w:val="0"/>
          <w:bCs w:val="0"/>
          <w:kern w:val="0"/>
          <w:sz w:val="22"/>
          <w:szCs w:val="22"/>
        </w:rPr>
        <w:t xml:space="preserve"> rettet mot styringssystemet</w:t>
      </w:r>
      <w:r w:rsidR="00A514FF">
        <w:rPr>
          <w:b w:val="0"/>
          <w:bCs w:val="0"/>
          <w:kern w:val="0"/>
          <w:sz w:val="22"/>
          <w:szCs w:val="22"/>
        </w:rPr>
        <w:t xml:space="preserve">, er </w:t>
      </w:r>
      <w:r w:rsidR="00B52A3F">
        <w:rPr>
          <w:b w:val="0"/>
          <w:bCs w:val="0"/>
          <w:kern w:val="0"/>
          <w:sz w:val="22"/>
          <w:szCs w:val="22"/>
        </w:rPr>
        <w:t xml:space="preserve">inspeksjoner </w:t>
      </w:r>
      <w:r w:rsidR="009565A2">
        <w:rPr>
          <w:b w:val="0"/>
          <w:bCs w:val="0"/>
          <w:kern w:val="0"/>
          <w:sz w:val="22"/>
          <w:szCs w:val="22"/>
        </w:rPr>
        <w:t xml:space="preserve">rettet </w:t>
      </w:r>
      <w:r w:rsidR="28291741">
        <w:rPr>
          <w:b w:val="0"/>
          <w:bCs w:val="0"/>
          <w:kern w:val="0"/>
          <w:sz w:val="22"/>
          <w:szCs w:val="22"/>
        </w:rPr>
        <w:t xml:space="preserve">mot </w:t>
      </w:r>
      <w:r w:rsidR="00AB120B">
        <w:rPr>
          <w:b w:val="0"/>
          <w:bCs w:val="0"/>
          <w:kern w:val="0"/>
          <w:sz w:val="22"/>
          <w:szCs w:val="22"/>
        </w:rPr>
        <w:t xml:space="preserve">fysiske objekt </w:t>
      </w:r>
      <w:r w:rsidR="007050FC">
        <w:rPr>
          <w:b w:val="0"/>
          <w:bCs w:val="0"/>
          <w:kern w:val="0"/>
          <w:sz w:val="22"/>
          <w:szCs w:val="22"/>
        </w:rPr>
        <w:t>i felt. Dokumentkontroll innebærer en g</w:t>
      </w:r>
      <w:r w:rsidR="00EA6BA3">
        <w:rPr>
          <w:b w:val="0"/>
          <w:bCs w:val="0"/>
          <w:kern w:val="0"/>
          <w:sz w:val="22"/>
          <w:szCs w:val="22"/>
        </w:rPr>
        <w:t xml:space="preserve">jennomgang av ulike typer dokumenter. Alle metoden har det tilfelles at de </w:t>
      </w:r>
      <w:r w:rsidR="00144787">
        <w:rPr>
          <w:b w:val="0"/>
          <w:bCs w:val="0"/>
          <w:kern w:val="0"/>
          <w:sz w:val="22"/>
          <w:szCs w:val="22"/>
        </w:rPr>
        <w:t>kontrollerer etterlevelsen av gitte krav. Nå</w:t>
      </w:r>
      <w:r w:rsidR="00D66460">
        <w:rPr>
          <w:b w:val="0"/>
          <w:bCs w:val="0"/>
          <w:kern w:val="0"/>
          <w:sz w:val="22"/>
          <w:szCs w:val="22"/>
        </w:rPr>
        <w:t>r avvik blir avdekket, blir hensiktsmessig reaksjon vurdert og vedtatt.</w:t>
      </w:r>
    </w:p>
    <w:p w14:paraId="0FF5576C" w14:textId="77777777" w:rsidR="00746468" w:rsidRDefault="00746468" w:rsidP="00746468">
      <w:pPr>
        <w:pStyle w:val="Brdtekst"/>
      </w:pPr>
    </w:p>
    <w:p w14:paraId="0FF5576D" w14:textId="1D3B84EC" w:rsidR="00746468" w:rsidRPr="00610BBC" w:rsidRDefault="00746468" w:rsidP="00746468">
      <w:pPr>
        <w:pStyle w:val="Overskrift1"/>
      </w:pPr>
      <w:r w:rsidRPr="00610BBC">
        <w:t>2</w:t>
      </w:r>
      <w:r w:rsidRPr="00610BBC">
        <w:tab/>
        <w:t>Prioriterte temaer og tilsynsobjekter</w:t>
      </w:r>
    </w:p>
    <w:p w14:paraId="2362DA09" w14:textId="6304CD83" w:rsidR="00E541FD" w:rsidRDefault="00E541FD" w:rsidP="00746468">
      <w:pPr>
        <w:pStyle w:val="Brdtekst"/>
      </w:pPr>
      <w:r>
        <w:t>Tilsyns</w:t>
      </w:r>
      <w:r w:rsidR="00746468">
        <w:t>planen for 20</w:t>
      </w:r>
      <w:r>
        <w:t>21</w:t>
      </w:r>
      <w:r w:rsidR="00746468">
        <w:t xml:space="preserve"> </w:t>
      </w:r>
      <w:r w:rsidR="00D66460">
        <w:t xml:space="preserve">presenterer </w:t>
      </w:r>
      <w:r w:rsidR="00746468">
        <w:t>de temaene det vil være særskilt oppmerksomhet mot</w:t>
      </w:r>
      <w:r w:rsidR="00D66460">
        <w:t>. Utvalget av temaene</w:t>
      </w:r>
      <w:r w:rsidR="00746468">
        <w:t xml:space="preserve"> for de enkelte fagområdene</w:t>
      </w:r>
      <w:r w:rsidR="00D66460">
        <w:t xml:space="preserve"> er blant annet basert på tildelingsbrev for 20</w:t>
      </w:r>
      <w:r>
        <w:t>21</w:t>
      </w:r>
      <w:r w:rsidR="00D66460">
        <w:t xml:space="preserve">, erfaringer og interne prioriteringer. </w:t>
      </w:r>
      <w:r w:rsidR="00746468">
        <w:t xml:space="preserve">For at handlingsplanen skal ha samme struktur som </w:t>
      </w:r>
      <w:r w:rsidR="6CB060B4">
        <w:t xml:space="preserve">NVEs </w:t>
      </w:r>
      <w:r w:rsidR="00746468">
        <w:t>årsrapport er områdene delt inn i de tre hovedkategoriene vassdrag, energiforsyning, og energimerking og energibruk.</w:t>
      </w:r>
      <w:r>
        <w:t xml:space="preserve">  </w:t>
      </w:r>
    </w:p>
    <w:p w14:paraId="0FF5576F" w14:textId="777A1F23" w:rsidR="00EC7F07" w:rsidRDefault="00150F0D" w:rsidP="009723B7">
      <w:pPr>
        <w:pStyle w:val="Brdtekst"/>
      </w:pPr>
      <w:r>
        <w:t>NVE</w:t>
      </w:r>
      <w:r w:rsidR="0051720A">
        <w:t>s</w:t>
      </w:r>
      <w:r>
        <w:t xml:space="preserve"> portefølje av virksomheter som vi fører tilsyn </w:t>
      </w:r>
      <w:r w:rsidR="0051720A">
        <w:t xml:space="preserve">med, </w:t>
      </w:r>
      <w:r>
        <w:t xml:space="preserve">er svært omfattende med blant annet ca. 4 millioner bygninger og </w:t>
      </w:r>
      <w:r w:rsidR="00286BA5">
        <w:t>7</w:t>
      </w:r>
      <w:r>
        <w:t>000 vassdragsanlegg fordelt på ca. 1300 virksomheter. Det betyr at kontrollaktiviteten må være basert på utvelgelser</w:t>
      </w:r>
      <w:r w:rsidR="008E26CD">
        <w:t xml:space="preserve"> og stikkprøver</w:t>
      </w:r>
      <w:r>
        <w:t>. På enkelte områder er imidlertid omfanget begrenset slik at en fullstendig kontroll er mulig</w:t>
      </w:r>
      <w:r w:rsidR="008220A7">
        <w:t xml:space="preserve"> over en kort tidshorisont</w:t>
      </w:r>
      <w:r>
        <w:t xml:space="preserve">. </w:t>
      </w:r>
      <w:r w:rsidR="0AB68833">
        <w:t>Ved u</w:t>
      </w:r>
      <w:r>
        <w:t xml:space="preserve">tvelgelser </w:t>
      </w:r>
      <w:r w:rsidR="008B6D7A">
        <w:t xml:space="preserve">er </w:t>
      </w:r>
      <w:r w:rsidR="07EA5284">
        <w:t>følgende</w:t>
      </w:r>
      <w:r w:rsidR="00D66460">
        <w:t xml:space="preserve"> kriterie</w:t>
      </w:r>
      <w:r w:rsidR="6A24D3F6">
        <w:t>r lagt til grunn:</w:t>
      </w:r>
    </w:p>
    <w:p w14:paraId="0FF55771" w14:textId="666AAAB0" w:rsidR="00EC7F07" w:rsidRPr="00150F0D" w:rsidRDefault="003867C0" w:rsidP="003D7F7E">
      <w:pPr>
        <w:pStyle w:val="Brdtekst"/>
        <w:numPr>
          <w:ilvl w:val="0"/>
          <w:numId w:val="7"/>
        </w:numPr>
        <w:spacing w:after="0"/>
        <w:rPr>
          <w:rFonts w:ascii="Times New Roman" w:hAnsi="Times New Roman" w:cs="Times New Roman"/>
        </w:rPr>
      </w:pPr>
      <w:r>
        <w:rPr>
          <w:rFonts w:ascii="Times New Roman" w:hAnsi="Times New Roman" w:cs="Times New Roman"/>
        </w:rPr>
        <w:t>Risiko</w:t>
      </w:r>
      <w:r w:rsidR="00C73A1A">
        <w:rPr>
          <w:rFonts w:ascii="Times New Roman" w:hAnsi="Times New Roman" w:cs="Times New Roman"/>
        </w:rPr>
        <w:t xml:space="preserve"> med hovedvekt på konsekvensaspekt</w:t>
      </w:r>
    </w:p>
    <w:p w14:paraId="224ABAE6" w14:textId="373130B0" w:rsidR="009C346E" w:rsidRDefault="009C346E" w:rsidP="009723B7">
      <w:pPr>
        <w:pStyle w:val="Brdtekst"/>
        <w:numPr>
          <w:ilvl w:val="0"/>
          <w:numId w:val="7"/>
        </w:numPr>
        <w:spacing w:after="0"/>
        <w:rPr>
          <w:rFonts w:ascii="Times New Roman" w:hAnsi="Times New Roman" w:cs="Times New Roman"/>
        </w:rPr>
      </w:pPr>
      <w:r>
        <w:rPr>
          <w:rFonts w:ascii="Times New Roman" w:hAnsi="Times New Roman" w:cs="Times New Roman"/>
        </w:rPr>
        <w:t>Vesentlighet</w:t>
      </w:r>
    </w:p>
    <w:p w14:paraId="0FF55772" w14:textId="2B060DC3" w:rsidR="00EC7F07" w:rsidRPr="00EC7F07" w:rsidRDefault="00EC7F07" w:rsidP="009723B7">
      <w:pPr>
        <w:pStyle w:val="Brdtekst"/>
        <w:numPr>
          <w:ilvl w:val="0"/>
          <w:numId w:val="7"/>
        </w:numPr>
        <w:spacing w:after="0"/>
        <w:rPr>
          <w:rFonts w:ascii="Times New Roman" w:hAnsi="Times New Roman" w:cs="Times New Roman"/>
        </w:rPr>
      </w:pPr>
      <w:r w:rsidRPr="00EC7F07">
        <w:rPr>
          <w:rFonts w:ascii="Times New Roman" w:hAnsi="Times New Roman" w:cs="Times New Roman"/>
        </w:rPr>
        <w:t>Geografisk spredning</w:t>
      </w:r>
    </w:p>
    <w:p w14:paraId="0FF55773" w14:textId="31B655C8" w:rsidR="00EC7F07" w:rsidRPr="00EC7F07" w:rsidRDefault="009C346E" w:rsidP="009723B7">
      <w:pPr>
        <w:pStyle w:val="Brdtekst"/>
        <w:numPr>
          <w:ilvl w:val="0"/>
          <w:numId w:val="7"/>
        </w:numPr>
        <w:spacing w:after="0"/>
        <w:rPr>
          <w:rFonts w:ascii="Times New Roman" w:hAnsi="Times New Roman" w:cs="Times New Roman"/>
        </w:rPr>
      </w:pPr>
      <w:r>
        <w:rPr>
          <w:rFonts w:ascii="Times New Roman" w:hAnsi="Times New Roman" w:cs="Times New Roman"/>
        </w:rPr>
        <w:t>Spredning mellom virksomheter av ulike størrelser og t</w:t>
      </w:r>
      <w:r w:rsidR="001A2421">
        <w:rPr>
          <w:rFonts w:ascii="Times New Roman" w:hAnsi="Times New Roman" w:cs="Times New Roman"/>
        </w:rPr>
        <w:t>y</w:t>
      </w:r>
      <w:r>
        <w:rPr>
          <w:rFonts w:ascii="Times New Roman" w:hAnsi="Times New Roman" w:cs="Times New Roman"/>
        </w:rPr>
        <w:t>per</w:t>
      </w:r>
    </w:p>
    <w:p w14:paraId="51195F0B" w14:textId="3EAA3BA1" w:rsidR="00CB7E23" w:rsidRPr="00C21F1A" w:rsidRDefault="00AE1429" w:rsidP="00C21F1A">
      <w:pPr>
        <w:pStyle w:val="Brdtekst"/>
        <w:numPr>
          <w:ilvl w:val="0"/>
          <w:numId w:val="7"/>
        </w:numPr>
        <w:rPr>
          <w:rFonts w:ascii="Times New Roman" w:hAnsi="Times New Roman" w:cs="Times New Roman"/>
        </w:rPr>
      </w:pPr>
      <w:r>
        <w:rPr>
          <w:rFonts w:ascii="Times New Roman" w:hAnsi="Times New Roman" w:cs="Times New Roman"/>
        </w:rPr>
        <w:t xml:space="preserve">Områdeovervåking, </w:t>
      </w:r>
      <w:r w:rsidR="00150F0D">
        <w:rPr>
          <w:rFonts w:ascii="Times New Roman" w:hAnsi="Times New Roman" w:cs="Times New Roman"/>
        </w:rPr>
        <w:t>e</w:t>
      </w:r>
      <w:r w:rsidR="00EC7F07" w:rsidRPr="00EC7F07">
        <w:rPr>
          <w:rFonts w:ascii="Times New Roman" w:hAnsi="Times New Roman" w:cs="Times New Roman"/>
        </w:rPr>
        <w:t>rfaringer</w:t>
      </w:r>
      <w:r>
        <w:rPr>
          <w:rFonts w:ascii="Times New Roman" w:hAnsi="Times New Roman" w:cs="Times New Roman"/>
        </w:rPr>
        <w:t xml:space="preserve"> og varsler fra tredjepart</w:t>
      </w:r>
    </w:p>
    <w:p w14:paraId="0FF55775" w14:textId="77777777" w:rsidR="00EC7F07" w:rsidRPr="00EC7F07" w:rsidRDefault="00EC7F07" w:rsidP="00EC7F07">
      <w:pPr>
        <w:rPr>
          <w:rFonts w:ascii="Times New Roman" w:hAnsi="Times New Roman" w:cs="Times New Roman"/>
          <w:iCs/>
        </w:rPr>
      </w:pPr>
    </w:p>
    <w:p w14:paraId="0FF55776" w14:textId="77777777" w:rsidR="00746468" w:rsidRDefault="00746468" w:rsidP="00746468">
      <w:pPr>
        <w:spacing w:line="240" w:lineRule="auto"/>
      </w:pPr>
    </w:p>
    <w:p w14:paraId="0FF55777" w14:textId="77777777" w:rsidR="00EC7F07" w:rsidRDefault="00EC7F07">
      <w:r>
        <w:br w:type="page"/>
      </w:r>
    </w:p>
    <w:p w14:paraId="0FF55778" w14:textId="77777777" w:rsidR="00746468" w:rsidRPr="00391A40" w:rsidRDefault="00746468" w:rsidP="00746468">
      <w:pPr>
        <w:pStyle w:val="Brdtekst"/>
        <w:numPr>
          <w:ilvl w:val="0"/>
          <w:numId w:val="5"/>
        </w:numPr>
      </w:pPr>
      <w:r>
        <w:lastRenderedPageBreak/>
        <w:t>Vassdrag</w:t>
      </w:r>
    </w:p>
    <w:p w14:paraId="5E5E1924" w14:textId="77777777" w:rsidR="00952D2A" w:rsidRDefault="00952D2A" w:rsidP="00952D2A"/>
    <w:tbl>
      <w:tblPr>
        <w:tblStyle w:val="Tabellrutenett3"/>
        <w:tblW w:w="9351" w:type="dxa"/>
        <w:tblLook w:val="04A0" w:firstRow="1" w:lastRow="0" w:firstColumn="1" w:lastColumn="0" w:noHBand="0" w:noVBand="1"/>
      </w:tblPr>
      <w:tblGrid>
        <w:gridCol w:w="2689"/>
        <w:gridCol w:w="6662"/>
      </w:tblGrid>
      <w:tr w:rsidR="00C671FF" w:rsidRPr="00145FCF" w14:paraId="51D9BDA2" w14:textId="77777777" w:rsidTr="003D7F7E">
        <w:tc>
          <w:tcPr>
            <w:tcW w:w="2689" w:type="dxa"/>
            <w:shd w:val="clear" w:color="auto" w:fill="0D0D0D" w:themeFill="text1" w:themeFillTint="F2"/>
          </w:tcPr>
          <w:p w14:paraId="769A8292" w14:textId="77777777" w:rsidR="00C671FF" w:rsidRPr="00145FCF" w:rsidRDefault="00C671FF" w:rsidP="003D7F7E">
            <w:pPr>
              <w:rPr>
                <w:color w:val="FFFFFF" w:themeColor="background1"/>
                <w:sz w:val="22"/>
                <w:szCs w:val="22"/>
              </w:rPr>
            </w:pPr>
            <w:r w:rsidRPr="00145FCF">
              <w:rPr>
                <w:color w:val="FFFFFF" w:themeColor="background1"/>
                <w:sz w:val="22"/>
                <w:szCs w:val="22"/>
              </w:rPr>
              <w:t>Sikkerhetskrav ved dammer og vassdragsanlegg</w:t>
            </w:r>
          </w:p>
        </w:tc>
        <w:tc>
          <w:tcPr>
            <w:tcW w:w="6662" w:type="dxa"/>
            <w:shd w:val="clear" w:color="auto" w:fill="0D0D0D" w:themeFill="text1" w:themeFillTint="F2"/>
          </w:tcPr>
          <w:p w14:paraId="2090109B" w14:textId="77777777" w:rsidR="00C671FF" w:rsidRPr="00145FCF" w:rsidRDefault="00C671FF" w:rsidP="003D7F7E">
            <w:pPr>
              <w:rPr>
                <w:color w:val="FFFFFF" w:themeColor="background1"/>
                <w:sz w:val="22"/>
                <w:szCs w:val="22"/>
              </w:rPr>
            </w:pPr>
            <w:r w:rsidRPr="00145FCF">
              <w:rPr>
                <w:color w:val="FFFFFF" w:themeColor="background1"/>
                <w:sz w:val="22"/>
                <w:szCs w:val="22"/>
              </w:rPr>
              <w:t xml:space="preserve">Tilsyns- og beredskapsavdelingen – seksjon for </w:t>
            </w:r>
            <w:proofErr w:type="spellStart"/>
            <w:r w:rsidRPr="00145FCF">
              <w:rPr>
                <w:color w:val="FFFFFF" w:themeColor="background1"/>
                <w:sz w:val="22"/>
                <w:szCs w:val="22"/>
              </w:rPr>
              <w:t>damsikkerhet</w:t>
            </w:r>
            <w:proofErr w:type="spellEnd"/>
            <w:r w:rsidRPr="00145FCF">
              <w:rPr>
                <w:color w:val="FFFFFF" w:themeColor="background1"/>
                <w:sz w:val="22"/>
                <w:szCs w:val="22"/>
              </w:rPr>
              <w:t xml:space="preserve">  </w:t>
            </w:r>
          </w:p>
        </w:tc>
      </w:tr>
      <w:tr w:rsidR="00C671FF" w:rsidRPr="00145FCF" w14:paraId="76D2700E" w14:textId="77777777" w:rsidTr="003D7F7E">
        <w:tc>
          <w:tcPr>
            <w:tcW w:w="2689" w:type="dxa"/>
          </w:tcPr>
          <w:p w14:paraId="294CD9F4" w14:textId="77777777" w:rsidR="00C671FF" w:rsidRPr="00145FCF" w:rsidRDefault="00C671FF" w:rsidP="003D7F7E">
            <w:pPr>
              <w:rPr>
                <w:i/>
                <w:sz w:val="22"/>
                <w:szCs w:val="22"/>
              </w:rPr>
            </w:pPr>
            <w:r w:rsidRPr="00145FCF">
              <w:rPr>
                <w:i/>
                <w:sz w:val="22"/>
                <w:szCs w:val="22"/>
              </w:rPr>
              <w:t>Tema</w:t>
            </w:r>
          </w:p>
        </w:tc>
        <w:tc>
          <w:tcPr>
            <w:tcW w:w="6662" w:type="dxa"/>
          </w:tcPr>
          <w:p w14:paraId="045220EA" w14:textId="77777777" w:rsidR="00C671FF" w:rsidRPr="00B44AE5" w:rsidRDefault="00C671FF" w:rsidP="003D7F7E">
            <w:pPr>
              <w:spacing w:after="160"/>
              <w:rPr>
                <w:rFonts w:cs="Times New Roman"/>
                <w:sz w:val="22"/>
                <w:szCs w:val="22"/>
                <w:lang w:val="nn-NO"/>
              </w:rPr>
            </w:pPr>
            <w:r>
              <w:rPr>
                <w:rFonts w:cs="Times New Roman"/>
                <w:sz w:val="22"/>
                <w:szCs w:val="22"/>
                <w:lang w:val="nn-NO"/>
              </w:rPr>
              <w:t>V</w:t>
            </w:r>
            <w:r w:rsidRPr="00B44AE5">
              <w:rPr>
                <w:rFonts w:cs="Times New Roman"/>
                <w:sz w:val="22"/>
                <w:szCs w:val="22"/>
                <w:lang w:val="nn-NO"/>
              </w:rPr>
              <w:t>assdragsanlegg i driftsfasen.</w:t>
            </w:r>
          </w:p>
          <w:p w14:paraId="5DC5581E" w14:textId="77777777" w:rsidR="00C671FF" w:rsidRPr="00145FCF" w:rsidRDefault="00C671FF" w:rsidP="003D7F7E">
            <w:pPr>
              <w:spacing w:after="160"/>
              <w:rPr>
                <w:rFonts w:cs="Times New Roman"/>
                <w:sz w:val="22"/>
                <w:szCs w:val="22"/>
              </w:rPr>
            </w:pPr>
            <w:r w:rsidRPr="00B44AE5">
              <w:rPr>
                <w:rFonts w:cs="Times New Roman"/>
                <w:sz w:val="22"/>
                <w:szCs w:val="22"/>
              </w:rPr>
              <w:t>Særskilt fokus rettes mot: internkontroll, organisatoriske krav, kvalifikasjonskrav og beredskap.</w:t>
            </w:r>
          </w:p>
        </w:tc>
      </w:tr>
      <w:tr w:rsidR="00C671FF" w:rsidRPr="00145FCF" w14:paraId="693D372A" w14:textId="77777777" w:rsidTr="003D7F7E">
        <w:tc>
          <w:tcPr>
            <w:tcW w:w="2689" w:type="dxa"/>
          </w:tcPr>
          <w:p w14:paraId="0221BE47" w14:textId="37052EB0" w:rsidR="00C671FF" w:rsidRPr="00145FCF" w:rsidRDefault="005D1925" w:rsidP="003D7F7E">
            <w:pPr>
              <w:rPr>
                <w:i/>
                <w:sz w:val="22"/>
                <w:szCs w:val="22"/>
              </w:rPr>
            </w:pPr>
            <w:r>
              <w:rPr>
                <w:i/>
                <w:sz w:val="22"/>
                <w:szCs w:val="22"/>
              </w:rPr>
              <w:t>Tilsynso</w:t>
            </w:r>
            <w:r w:rsidR="00C671FF" w:rsidRPr="00145FCF">
              <w:rPr>
                <w:i/>
                <w:sz w:val="22"/>
                <w:szCs w:val="22"/>
              </w:rPr>
              <w:t>bjekter</w:t>
            </w:r>
          </w:p>
        </w:tc>
        <w:tc>
          <w:tcPr>
            <w:tcW w:w="6662" w:type="dxa"/>
          </w:tcPr>
          <w:p w14:paraId="638D6090" w14:textId="77777777" w:rsidR="00C671FF" w:rsidRPr="00B44AE5" w:rsidRDefault="00C671FF" w:rsidP="003D7F7E">
            <w:pPr>
              <w:spacing w:after="160"/>
              <w:rPr>
                <w:rFonts w:cs="Times New Roman"/>
                <w:sz w:val="22"/>
                <w:szCs w:val="22"/>
              </w:rPr>
            </w:pPr>
            <w:r w:rsidRPr="00B44AE5">
              <w:rPr>
                <w:rFonts w:cs="Times New Roman"/>
                <w:sz w:val="22"/>
                <w:szCs w:val="22"/>
              </w:rPr>
              <w:t>Brudd på vassdragsanlegg (dammer og vannveier) med tilhørende komponenter utgjør et vesentlig skadepotensial. Eiere av vassdragsanlegg i de høyeste konsekvensklassene (2-4) er v</w:t>
            </w:r>
            <w:r>
              <w:rPr>
                <w:rFonts w:cs="Times New Roman"/>
                <w:sz w:val="22"/>
                <w:szCs w:val="22"/>
              </w:rPr>
              <w:t>algt som kontrollobjekter i 2020</w:t>
            </w:r>
            <w:r w:rsidRPr="00B44AE5">
              <w:rPr>
                <w:rFonts w:cs="Times New Roman"/>
                <w:sz w:val="22"/>
                <w:szCs w:val="22"/>
              </w:rPr>
              <w:t xml:space="preserve"> ut fra deres samfunnssikkerhetsmessige betydning.</w:t>
            </w:r>
          </w:p>
          <w:p w14:paraId="41BE6C0D" w14:textId="77777777" w:rsidR="00C671FF" w:rsidRPr="00B44AE5" w:rsidRDefault="00C671FF" w:rsidP="003D7F7E">
            <w:pPr>
              <w:spacing w:after="160"/>
              <w:rPr>
                <w:rFonts w:cs="Times New Roman"/>
                <w:sz w:val="22"/>
                <w:szCs w:val="22"/>
              </w:rPr>
            </w:pPr>
            <w:r w:rsidRPr="00B44AE5">
              <w:rPr>
                <w:rFonts w:cs="Times New Roman"/>
                <w:sz w:val="22"/>
                <w:szCs w:val="22"/>
              </w:rPr>
              <w:t xml:space="preserve">Eiere med mange anlegg i høyere konsekvensklasse, og som ikke har vært revidert de senere år, vil bli prioritert høyest. Av vesentlighetsgrunner vil eiere av få vassdragsanlegg i høy konsekvensklasse, der </w:t>
            </w:r>
            <w:proofErr w:type="spellStart"/>
            <w:r w:rsidRPr="00B44AE5">
              <w:rPr>
                <w:rFonts w:cs="Times New Roman"/>
                <w:sz w:val="22"/>
                <w:szCs w:val="22"/>
              </w:rPr>
              <w:t>damsikkerhet</w:t>
            </w:r>
            <w:proofErr w:type="spellEnd"/>
            <w:r w:rsidRPr="00B44AE5">
              <w:rPr>
                <w:rFonts w:cs="Times New Roman"/>
                <w:sz w:val="22"/>
                <w:szCs w:val="22"/>
              </w:rPr>
              <w:t xml:space="preserve"> ikke er antatt å være en vesentlig del av </w:t>
            </w:r>
            <w:r>
              <w:rPr>
                <w:rFonts w:cs="Times New Roman"/>
                <w:sz w:val="22"/>
                <w:szCs w:val="22"/>
              </w:rPr>
              <w:t>virksomhetens</w:t>
            </w:r>
            <w:r w:rsidRPr="00B44AE5">
              <w:rPr>
                <w:rFonts w:cs="Times New Roman"/>
                <w:sz w:val="22"/>
                <w:szCs w:val="22"/>
              </w:rPr>
              <w:t xml:space="preserve"> formål, være prioritert for systemrevisjoner. </w:t>
            </w:r>
            <w:r w:rsidRPr="00E30A41">
              <w:rPr>
                <w:rFonts w:cs="Times New Roman"/>
                <w:sz w:val="22"/>
                <w:szCs w:val="22"/>
              </w:rPr>
              <w:t xml:space="preserve">I denne gruppen prioriteres </w:t>
            </w:r>
            <w:r>
              <w:rPr>
                <w:rFonts w:cs="Times New Roman"/>
                <w:sz w:val="22"/>
                <w:szCs w:val="22"/>
              </w:rPr>
              <w:t xml:space="preserve">nylig </w:t>
            </w:r>
            <w:r w:rsidRPr="00E30A41">
              <w:rPr>
                <w:rFonts w:cs="Times New Roman"/>
                <w:sz w:val="22"/>
                <w:szCs w:val="22"/>
              </w:rPr>
              <w:t>sammenslåtte kommuner.</w:t>
            </w:r>
          </w:p>
          <w:p w14:paraId="4144033E" w14:textId="77777777" w:rsidR="00C671FF" w:rsidRPr="00145FCF" w:rsidRDefault="00C671FF" w:rsidP="003D7F7E">
            <w:pPr>
              <w:spacing w:after="160"/>
              <w:rPr>
                <w:rFonts w:cs="Times New Roman"/>
                <w:sz w:val="22"/>
                <w:szCs w:val="22"/>
              </w:rPr>
            </w:pPr>
            <w:r w:rsidRPr="00B44AE5">
              <w:rPr>
                <w:rFonts w:cs="Times New Roman"/>
                <w:sz w:val="22"/>
                <w:szCs w:val="22"/>
              </w:rPr>
              <w:t xml:space="preserve">Eiere av dammer i de høyeste konsekvensklassene der det nylig er gjennomført </w:t>
            </w:r>
            <w:proofErr w:type="spellStart"/>
            <w:r w:rsidRPr="00B44AE5">
              <w:rPr>
                <w:rFonts w:cs="Times New Roman"/>
                <w:sz w:val="22"/>
                <w:szCs w:val="22"/>
              </w:rPr>
              <w:t>hovedtilsyn</w:t>
            </w:r>
            <w:proofErr w:type="spellEnd"/>
            <w:r w:rsidRPr="00B44AE5">
              <w:rPr>
                <w:rFonts w:cs="Times New Roman"/>
                <w:sz w:val="22"/>
                <w:szCs w:val="22"/>
              </w:rPr>
              <w:t xml:space="preserve"> vil danne grunnlag for kontroll av opplysning</w:t>
            </w:r>
            <w:r>
              <w:rPr>
                <w:rFonts w:cs="Times New Roman"/>
                <w:sz w:val="22"/>
                <w:szCs w:val="22"/>
              </w:rPr>
              <w:t>er som innrapporteres våren 2021</w:t>
            </w:r>
            <w:r w:rsidRPr="00B44AE5">
              <w:rPr>
                <w:rFonts w:cs="Times New Roman"/>
                <w:sz w:val="22"/>
                <w:szCs w:val="22"/>
              </w:rPr>
              <w:t>.</w:t>
            </w:r>
          </w:p>
        </w:tc>
      </w:tr>
      <w:tr w:rsidR="00C671FF" w:rsidRPr="00145FCF" w14:paraId="4BB58123" w14:textId="77777777" w:rsidTr="003D7F7E">
        <w:tc>
          <w:tcPr>
            <w:tcW w:w="2689" w:type="dxa"/>
          </w:tcPr>
          <w:p w14:paraId="6C7A37B2" w14:textId="77777777" w:rsidR="00C671FF" w:rsidRPr="00145FCF" w:rsidRDefault="00C671FF" w:rsidP="003D7F7E">
            <w:pPr>
              <w:rPr>
                <w:i/>
                <w:sz w:val="22"/>
                <w:szCs w:val="22"/>
              </w:rPr>
            </w:pPr>
            <w:r w:rsidRPr="00145FCF">
              <w:rPr>
                <w:i/>
                <w:sz w:val="22"/>
                <w:szCs w:val="22"/>
              </w:rPr>
              <w:t>Kontrollmetoder</w:t>
            </w:r>
          </w:p>
        </w:tc>
        <w:tc>
          <w:tcPr>
            <w:tcW w:w="6662" w:type="dxa"/>
          </w:tcPr>
          <w:p w14:paraId="27B7A805" w14:textId="77777777" w:rsidR="00C671FF" w:rsidRPr="00145FCF" w:rsidRDefault="00C671FF" w:rsidP="003D7F7E">
            <w:pPr>
              <w:spacing w:after="160"/>
              <w:rPr>
                <w:rFonts w:cs="Times New Roman"/>
                <w:sz w:val="22"/>
                <w:szCs w:val="22"/>
              </w:rPr>
            </w:pPr>
            <w:r w:rsidRPr="00B44AE5">
              <w:rPr>
                <w:rFonts w:cs="Times New Roman"/>
                <w:sz w:val="22"/>
                <w:szCs w:val="22"/>
              </w:rPr>
              <w:t xml:space="preserve">Revisjoner, inspeksjoner, innrapportering og </w:t>
            </w:r>
            <w:r>
              <w:rPr>
                <w:rFonts w:cs="Times New Roman"/>
                <w:sz w:val="22"/>
                <w:szCs w:val="22"/>
              </w:rPr>
              <w:t>d</w:t>
            </w:r>
            <w:r w:rsidRPr="008D6C07">
              <w:rPr>
                <w:rFonts w:cs="Times New Roman"/>
                <w:sz w:val="22"/>
                <w:szCs w:val="22"/>
              </w:rPr>
              <w:t xml:space="preserve">okumentkontroll </w:t>
            </w:r>
            <w:r w:rsidRPr="00B44AE5">
              <w:rPr>
                <w:rFonts w:cs="Times New Roman"/>
                <w:sz w:val="22"/>
                <w:szCs w:val="22"/>
              </w:rPr>
              <w:t>av innrapporterte opplysninger.</w:t>
            </w:r>
          </w:p>
        </w:tc>
      </w:tr>
    </w:tbl>
    <w:p w14:paraId="2AD395D0" w14:textId="140495A3" w:rsidR="00952D2A" w:rsidRDefault="00952D2A" w:rsidP="00952D2A"/>
    <w:tbl>
      <w:tblPr>
        <w:tblStyle w:val="Tabellrutenett2"/>
        <w:tblpPr w:leftFromText="141" w:rightFromText="141" w:vertAnchor="text" w:tblpY="153"/>
        <w:tblW w:w="9351" w:type="dxa"/>
        <w:tblLook w:val="04A0" w:firstRow="1" w:lastRow="0" w:firstColumn="1" w:lastColumn="0" w:noHBand="0" w:noVBand="1"/>
      </w:tblPr>
      <w:tblGrid>
        <w:gridCol w:w="2689"/>
        <w:gridCol w:w="6662"/>
      </w:tblGrid>
      <w:tr w:rsidR="00851A82" w:rsidRPr="00145FCF" w14:paraId="317BD9B3" w14:textId="77777777" w:rsidTr="18D775C8">
        <w:tc>
          <w:tcPr>
            <w:tcW w:w="2689" w:type="dxa"/>
            <w:shd w:val="clear" w:color="auto" w:fill="0D0D0D" w:themeFill="text1" w:themeFillTint="F2"/>
          </w:tcPr>
          <w:p w14:paraId="4E53588D" w14:textId="77777777" w:rsidR="00851A82" w:rsidRPr="00145FCF" w:rsidRDefault="00851A82" w:rsidP="003D7F7E">
            <w:pPr>
              <w:rPr>
                <w:color w:val="FFFFFF" w:themeColor="background1"/>
                <w:sz w:val="22"/>
                <w:szCs w:val="22"/>
              </w:rPr>
            </w:pPr>
            <w:r w:rsidRPr="00145FCF">
              <w:rPr>
                <w:color w:val="FFFFFF" w:themeColor="background1"/>
                <w:sz w:val="22"/>
                <w:szCs w:val="22"/>
              </w:rPr>
              <w:t>Miljøtilsyn med vassdragsanlegg</w:t>
            </w:r>
          </w:p>
        </w:tc>
        <w:tc>
          <w:tcPr>
            <w:tcW w:w="6662" w:type="dxa"/>
            <w:shd w:val="clear" w:color="auto" w:fill="0D0D0D" w:themeFill="text1" w:themeFillTint="F2"/>
          </w:tcPr>
          <w:p w14:paraId="6E78F5D5" w14:textId="77777777" w:rsidR="00851A82" w:rsidRPr="00145FCF" w:rsidRDefault="00851A82" w:rsidP="003D7F7E">
            <w:pPr>
              <w:rPr>
                <w:color w:val="FFFFFF" w:themeColor="background1"/>
                <w:sz w:val="22"/>
                <w:szCs w:val="22"/>
              </w:rPr>
            </w:pPr>
            <w:r w:rsidRPr="00145FCF">
              <w:rPr>
                <w:color w:val="FFFFFF" w:themeColor="background1"/>
                <w:sz w:val="22"/>
                <w:szCs w:val="22"/>
              </w:rPr>
              <w:t>Tilsyns- og beredskapsavdelingen – seksjon for miljøtilsyn vassdragsanlegg</w:t>
            </w:r>
          </w:p>
        </w:tc>
      </w:tr>
      <w:tr w:rsidR="00851A82" w:rsidRPr="00145FCF" w14:paraId="34CE764D" w14:textId="77777777" w:rsidTr="18D775C8">
        <w:trPr>
          <w:trHeight w:val="367"/>
        </w:trPr>
        <w:tc>
          <w:tcPr>
            <w:tcW w:w="2689" w:type="dxa"/>
          </w:tcPr>
          <w:p w14:paraId="775B8276" w14:textId="77777777" w:rsidR="00851A82" w:rsidRPr="00145FCF" w:rsidRDefault="00851A82" w:rsidP="003D7F7E">
            <w:pPr>
              <w:rPr>
                <w:i/>
                <w:sz w:val="22"/>
                <w:szCs w:val="22"/>
              </w:rPr>
            </w:pPr>
            <w:r w:rsidRPr="00145FCF">
              <w:rPr>
                <w:i/>
                <w:sz w:val="22"/>
                <w:szCs w:val="22"/>
              </w:rPr>
              <w:t>Tema</w:t>
            </w:r>
          </w:p>
        </w:tc>
        <w:tc>
          <w:tcPr>
            <w:tcW w:w="6662" w:type="dxa"/>
          </w:tcPr>
          <w:p w14:paraId="0CA8F24A" w14:textId="77777777" w:rsidR="00851A82" w:rsidRPr="00145FCF" w:rsidRDefault="00851A82" w:rsidP="003D7F7E">
            <w:pPr>
              <w:spacing w:after="160"/>
              <w:rPr>
                <w:rFonts w:cs="Times New Roman"/>
                <w:sz w:val="22"/>
                <w:szCs w:val="22"/>
              </w:rPr>
            </w:pPr>
            <w:r>
              <w:rPr>
                <w:rFonts w:cs="Times New Roman"/>
                <w:sz w:val="22"/>
                <w:szCs w:val="22"/>
              </w:rPr>
              <w:t>Det er for tiden rekordstor utbygging av vannkraftverk. Miljøtilsyn for vassdragsanlegg vil derfor også i 2021 prioritere tilsyn med anlegg i byggefasen. Vi vil følge opp vilkår gitt i konsesjon eller enkeltvedtak. Vilkårene er satt for å ivareta allmenne interesser både i byggefasen og i driftsfasen. Alle anlegg i byggefasen kontrolleres for å begrense brudd på miljøvilkår som kan ha</w:t>
            </w:r>
            <w:r w:rsidRPr="00145FCF">
              <w:rPr>
                <w:rFonts w:cs="Times New Roman"/>
                <w:sz w:val="22"/>
                <w:szCs w:val="22"/>
              </w:rPr>
              <w:t xml:space="preserve"> store </w:t>
            </w:r>
            <w:r>
              <w:rPr>
                <w:rFonts w:cs="Times New Roman"/>
                <w:sz w:val="22"/>
                <w:szCs w:val="22"/>
              </w:rPr>
              <w:t xml:space="preserve">miljø- og </w:t>
            </w:r>
            <w:proofErr w:type="spellStart"/>
            <w:r>
              <w:rPr>
                <w:rFonts w:cs="Times New Roman"/>
                <w:sz w:val="22"/>
                <w:szCs w:val="22"/>
              </w:rPr>
              <w:t>landskapsmessige</w:t>
            </w:r>
            <w:proofErr w:type="spellEnd"/>
            <w:r w:rsidRPr="00145FCF">
              <w:rPr>
                <w:rFonts w:cs="Times New Roman"/>
                <w:sz w:val="22"/>
                <w:szCs w:val="22"/>
              </w:rPr>
              <w:t xml:space="preserve"> konsekvenser</w:t>
            </w:r>
            <w:r>
              <w:rPr>
                <w:rFonts w:cs="Times New Roman"/>
                <w:sz w:val="22"/>
                <w:szCs w:val="22"/>
              </w:rPr>
              <w:t xml:space="preserve"> både i bygge- og driftsfasen</w:t>
            </w:r>
            <w:r w:rsidRPr="00145FCF">
              <w:rPr>
                <w:rFonts w:cs="Times New Roman"/>
                <w:sz w:val="22"/>
                <w:szCs w:val="22"/>
              </w:rPr>
              <w:t xml:space="preserve">. </w:t>
            </w:r>
          </w:p>
          <w:p w14:paraId="4863B974" w14:textId="0C06B5E1" w:rsidR="00851A82" w:rsidRPr="00071690" w:rsidRDefault="00851A82" w:rsidP="003D7F7E">
            <w:pPr>
              <w:rPr>
                <w:sz w:val="22"/>
                <w:szCs w:val="22"/>
              </w:rPr>
            </w:pPr>
            <w:r>
              <w:rPr>
                <w:sz w:val="22"/>
                <w:szCs w:val="22"/>
              </w:rPr>
              <w:t>Når det gjelder anlegg i drift</w:t>
            </w:r>
            <w:r w:rsidR="000E643C">
              <w:rPr>
                <w:sz w:val="22"/>
                <w:szCs w:val="22"/>
              </w:rPr>
              <w:t>,</w:t>
            </w:r>
            <w:r>
              <w:rPr>
                <w:sz w:val="22"/>
                <w:szCs w:val="22"/>
              </w:rPr>
              <w:t xml:space="preserve"> vil vi fortsette å ha et spesielt </w:t>
            </w:r>
            <w:proofErr w:type="gramStart"/>
            <w:r>
              <w:rPr>
                <w:sz w:val="22"/>
                <w:szCs w:val="22"/>
              </w:rPr>
              <w:t>fokus</w:t>
            </w:r>
            <w:proofErr w:type="gramEnd"/>
            <w:r>
              <w:rPr>
                <w:sz w:val="22"/>
                <w:szCs w:val="22"/>
              </w:rPr>
              <w:t xml:space="preserve"> på settefiskanlegg for å sikre </w:t>
            </w:r>
            <w:r w:rsidRPr="00145FCF">
              <w:rPr>
                <w:sz w:val="22"/>
                <w:szCs w:val="22"/>
              </w:rPr>
              <w:t xml:space="preserve">etterlevelse av krav til </w:t>
            </w:r>
            <w:r>
              <w:rPr>
                <w:sz w:val="22"/>
                <w:szCs w:val="22"/>
              </w:rPr>
              <w:t xml:space="preserve">blant annet </w:t>
            </w:r>
            <w:r w:rsidRPr="00145FCF">
              <w:rPr>
                <w:sz w:val="22"/>
                <w:szCs w:val="22"/>
              </w:rPr>
              <w:t xml:space="preserve">slipp av minstevannføring, vannuttak </w:t>
            </w:r>
            <w:r>
              <w:rPr>
                <w:sz w:val="22"/>
                <w:szCs w:val="22"/>
              </w:rPr>
              <w:t xml:space="preserve">og andre sentrale vilkår som er satt for å ivareta allmenne interesser. Vi opplever at settefiskbransjen fortsatt har lite kjennskap til de plikter som følger av vassdragskonsesjoner. Et aktivt tilsyn kan endre </w:t>
            </w:r>
            <w:r w:rsidRPr="00A362AA">
              <w:rPr>
                <w:rFonts w:cs="Times New Roman"/>
                <w:sz w:val="22"/>
                <w:szCs w:val="22"/>
              </w:rPr>
              <w:t>på dette.</w:t>
            </w:r>
          </w:p>
        </w:tc>
      </w:tr>
      <w:tr w:rsidR="00851A82" w:rsidRPr="00B3663C" w14:paraId="4B9DE98D" w14:textId="77777777" w:rsidTr="18D775C8">
        <w:trPr>
          <w:trHeight w:val="401"/>
        </w:trPr>
        <w:tc>
          <w:tcPr>
            <w:tcW w:w="2689" w:type="dxa"/>
          </w:tcPr>
          <w:p w14:paraId="6F9D35AC" w14:textId="09757039" w:rsidR="00851A82" w:rsidRPr="00145FCF" w:rsidRDefault="005D1925" w:rsidP="003D7F7E">
            <w:pPr>
              <w:rPr>
                <w:i/>
                <w:sz w:val="22"/>
                <w:szCs w:val="22"/>
              </w:rPr>
            </w:pPr>
            <w:r>
              <w:rPr>
                <w:i/>
                <w:sz w:val="22"/>
                <w:szCs w:val="22"/>
              </w:rPr>
              <w:t>Tilsynso</w:t>
            </w:r>
            <w:r w:rsidRPr="00145FCF">
              <w:rPr>
                <w:i/>
                <w:sz w:val="22"/>
                <w:szCs w:val="22"/>
              </w:rPr>
              <w:t>bjekter</w:t>
            </w:r>
          </w:p>
        </w:tc>
        <w:tc>
          <w:tcPr>
            <w:tcW w:w="6662" w:type="dxa"/>
          </w:tcPr>
          <w:p w14:paraId="7D20EF2F" w14:textId="77777777" w:rsidR="00851A82" w:rsidRPr="00145FCF" w:rsidRDefault="00851A82" w:rsidP="003D7F7E">
            <w:pPr>
              <w:rPr>
                <w:i/>
                <w:sz w:val="22"/>
                <w:szCs w:val="22"/>
              </w:rPr>
            </w:pPr>
            <w:r w:rsidRPr="00145FCF">
              <w:rPr>
                <w:i/>
                <w:sz w:val="22"/>
                <w:szCs w:val="22"/>
              </w:rPr>
              <w:t xml:space="preserve">Vassdragsanlegg i byggefase </w:t>
            </w:r>
          </w:p>
          <w:p w14:paraId="7384C6E5" w14:textId="77777777" w:rsidR="00851A82" w:rsidRDefault="42838084" w:rsidP="18D775C8">
            <w:pPr>
              <w:rPr>
                <w:sz w:val="22"/>
                <w:szCs w:val="22"/>
              </w:rPr>
            </w:pPr>
            <w:r w:rsidRPr="18D775C8">
              <w:rPr>
                <w:sz w:val="22"/>
                <w:szCs w:val="22"/>
              </w:rPr>
              <w:t xml:space="preserve">Miljøtilsynet følger opp </w:t>
            </w:r>
            <w:r w:rsidRPr="18D775C8">
              <w:rPr>
                <w:sz w:val="22"/>
                <w:szCs w:val="22"/>
                <w:u w:val="single"/>
              </w:rPr>
              <w:t>alle</w:t>
            </w:r>
            <w:r w:rsidRPr="18D775C8">
              <w:rPr>
                <w:sz w:val="22"/>
                <w:szCs w:val="22"/>
              </w:rPr>
              <w:t xml:space="preserve"> konsesjonærer som søker om godkjenning av detaljplan gjennom vedtak i den enkelte sak. Formålet er å kontrollere at krav i konsesjonene blir etterlevd. Når detaljplanen er godkjent, følger vi opp anleggene i byggefasen for å sikre at vilkårene etterleves fra anleggsarbeidet starter. Antall nye anlegg som kontrolleres hvert år avhenger av antall prosjekter som søker om godkjenning av detaljplan.  </w:t>
            </w:r>
          </w:p>
          <w:p w14:paraId="1258FE9D" w14:textId="22F4C888" w:rsidR="18D775C8" w:rsidRDefault="18D775C8" w:rsidP="18D775C8">
            <w:pPr>
              <w:rPr>
                <w:rFonts w:cs="Times New Roman"/>
                <w:i/>
                <w:iCs/>
                <w:sz w:val="22"/>
                <w:szCs w:val="22"/>
              </w:rPr>
            </w:pPr>
          </w:p>
          <w:p w14:paraId="756C4FAD" w14:textId="77777777" w:rsidR="00851A82" w:rsidRPr="00145FCF" w:rsidRDefault="00851A82" w:rsidP="003D7F7E">
            <w:pPr>
              <w:rPr>
                <w:rFonts w:cs="Times New Roman"/>
                <w:i/>
                <w:sz w:val="22"/>
                <w:szCs w:val="22"/>
              </w:rPr>
            </w:pPr>
            <w:r w:rsidRPr="00145FCF">
              <w:rPr>
                <w:rFonts w:cs="Times New Roman"/>
                <w:i/>
                <w:sz w:val="22"/>
                <w:szCs w:val="22"/>
              </w:rPr>
              <w:lastRenderedPageBreak/>
              <w:t>Vassdragsanlegg i driftsfase</w:t>
            </w:r>
          </w:p>
          <w:p w14:paraId="3811AC1A" w14:textId="77777777" w:rsidR="00060CE2" w:rsidRDefault="42838084" w:rsidP="18D775C8">
            <w:pPr>
              <w:pStyle w:val="Brdtekst"/>
              <w:rPr>
                <w:sz w:val="22"/>
                <w:szCs w:val="22"/>
              </w:rPr>
            </w:pPr>
            <w:r w:rsidRPr="18D775C8">
              <w:rPr>
                <w:sz w:val="22"/>
                <w:szCs w:val="22"/>
              </w:rPr>
              <w:t>Miljøtilsynet vil i 2021 spesielt følge opp settefiskanlegg.  Konsesjoner til settefiskanlegg er gitt med restriksjoner på vannuttak. Restriksjonene er satt av hensyn til allmenne interesser. Ulovlig uttak av vann kan ha store konsekvenser i vassdraget. Det er gitt flere overtredelsesgebyr til settefiskanlegg de siste årene. Tilsynsobjektene velges ut fra miljøklasse og erfaring med aktørene.</w:t>
            </w:r>
          </w:p>
          <w:p w14:paraId="21932B0C" w14:textId="0F7FE21A" w:rsidR="00851A82" w:rsidRPr="007C7C96" w:rsidRDefault="42838084" w:rsidP="18D775C8">
            <w:pPr>
              <w:pStyle w:val="Brdtekst"/>
              <w:rPr>
                <w:sz w:val="22"/>
                <w:szCs w:val="22"/>
              </w:rPr>
            </w:pPr>
            <w:r w:rsidRPr="18D775C8">
              <w:rPr>
                <w:sz w:val="22"/>
                <w:szCs w:val="22"/>
              </w:rPr>
              <w:t>Miljøtilsynet vil i 2021 også følge opp noen aktører som har anlegg i høyeste klasse når det gjelder miljø, dam og beredskap. Utvelgelsen er gjort i avdelingens tilsynsprosjekt.</w:t>
            </w:r>
          </w:p>
          <w:p w14:paraId="25E735B1" w14:textId="7DDE031E" w:rsidR="00851A82" w:rsidRPr="00635E32" w:rsidRDefault="42838084" w:rsidP="00635E32">
            <w:pPr>
              <w:pStyle w:val="Brdtekst"/>
              <w:rPr>
                <w:sz w:val="22"/>
                <w:szCs w:val="22"/>
              </w:rPr>
            </w:pPr>
            <w:r w:rsidRPr="00635E32">
              <w:rPr>
                <w:sz w:val="22"/>
                <w:szCs w:val="22"/>
              </w:rPr>
              <w:t>Miljøtilsynet følger også opp anlegg dersom det er mistanke om brudd på vilkår.</w:t>
            </w:r>
          </w:p>
          <w:p w14:paraId="492A9474" w14:textId="0EB5C0EE" w:rsidR="00635E32" w:rsidRDefault="00635E32" w:rsidP="18D775C8">
            <w:pPr>
              <w:pStyle w:val="Brdtekst"/>
              <w:spacing w:after="0"/>
              <w:rPr>
                <w:sz w:val="22"/>
                <w:szCs w:val="22"/>
              </w:rPr>
            </w:pPr>
            <w:r>
              <w:rPr>
                <w:sz w:val="22"/>
                <w:szCs w:val="22"/>
              </w:rPr>
              <w:t>M</w:t>
            </w:r>
            <w:r w:rsidR="005001B4">
              <w:rPr>
                <w:sz w:val="22"/>
                <w:szCs w:val="22"/>
              </w:rPr>
              <w:t>i</w:t>
            </w:r>
            <w:r>
              <w:rPr>
                <w:sz w:val="22"/>
                <w:szCs w:val="22"/>
              </w:rPr>
              <w:t>ljøtilsynet</w:t>
            </w:r>
            <w:r w:rsidR="005001B4">
              <w:rPr>
                <w:sz w:val="22"/>
                <w:szCs w:val="22"/>
              </w:rPr>
              <w:t xml:space="preserve"> vil følge opp konsesjonærer med reguleringsmagasin som inngår i </w:t>
            </w:r>
            <w:r w:rsidR="005001B4" w:rsidRPr="005001B4">
              <w:rPr>
                <w:i/>
                <w:iCs/>
                <w:sz w:val="22"/>
                <w:szCs w:val="22"/>
              </w:rPr>
              <w:t>Norgesmagasinet</w:t>
            </w:r>
            <w:r w:rsidR="005001B4">
              <w:rPr>
                <w:sz w:val="22"/>
                <w:szCs w:val="22"/>
              </w:rPr>
              <w:t>.</w:t>
            </w:r>
          </w:p>
          <w:p w14:paraId="320381F9" w14:textId="77777777" w:rsidR="00851A82" w:rsidRPr="00CC0C69" w:rsidRDefault="00851A82" w:rsidP="003D7F7E">
            <w:pPr>
              <w:ind w:left="457"/>
              <w:rPr>
                <w:rFonts w:cs="Times New Roman"/>
                <w:sz w:val="22"/>
                <w:szCs w:val="22"/>
              </w:rPr>
            </w:pPr>
          </w:p>
        </w:tc>
      </w:tr>
      <w:tr w:rsidR="00851A82" w:rsidRPr="00145FCF" w14:paraId="5B419B18" w14:textId="77777777" w:rsidTr="18D775C8">
        <w:trPr>
          <w:trHeight w:val="422"/>
        </w:trPr>
        <w:tc>
          <w:tcPr>
            <w:tcW w:w="2689" w:type="dxa"/>
          </w:tcPr>
          <w:p w14:paraId="041593A1" w14:textId="77777777" w:rsidR="00851A82" w:rsidRPr="00145FCF" w:rsidRDefault="00851A82" w:rsidP="003D7F7E">
            <w:pPr>
              <w:rPr>
                <w:i/>
                <w:sz w:val="22"/>
                <w:szCs w:val="22"/>
              </w:rPr>
            </w:pPr>
            <w:r w:rsidRPr="00145FCF">
              <w:rPr>
                <w:i/>
                <w:sz w:val="22"/>
                <w:szCs w:val="22"/>
              </w:rPr>
              <w:lastRenderedPageBreak/>
              <w:t>Kontrollmetoder</w:t>
            </w:r>
          </w:p>
        </w:tc>
        <w:tc>
          <w:tcPr>
            <w:tcW w:w="6662" w:type="dxa"/>
          </w:tcPr>
          <w:p w14:paraId="4ACD2CF4" w14:textId="77777777" w:rsidR="00851A82" w:rsidRPr="00145FCF" w:rsidRDefault="00851A82" w:rsidP="003D7F7E">
            <w:pPr>
              <w:rPr>
                <w:rFonts w:cs="Times New Roman"/>
                <w:i/>
                <w:sz w:val="22"/>
                <w:szCs w:val="22"/>
              </w:rPr>
            </w:pPr>
            <w:r>
              <w:rPr>
                <w:rFonts w:cs="Times New Roman"/>
                <w:i/>
                <w:sz w:val="22"/>
                <w:szCs w:val="22"/>
              </w:rPr>
              <w:t>I</w:t>
            </w:r>
            <w:r w:rsidRPr="00145FCF">
              <w:rPr>
                <w:rFonts w:cs="Times New Roman"/>
                <w:i/>
                <w:sz w:val="22"/>
                <w:szCs w:val="22"/>
              </w:rPr>
              <w:t>nspeksjon</w:t>
            </w:r>
          </w:p>
          <w:p w14:paraId="3C425F96" w14:textId="77777777" w:rsidR="00851A82" w:rsidRPr="00880A50" w:rsidRDefault="00851A82" w:rsidP="005E15E3">
            <w:pPr>
              <w:rPr>
                <w:sz w:val="22"/>
                <w:szCs w:val="22"/>
              </w:rPr>
            </w:pPr>
            <w:r w:rsidRPr="00880A50">
              <w:rPr>
                <w:sz w:val="22"/>
                <w:szCs w:val="22"/>
              </w:rPr>
              <w:t>Vassdragsanlegg i byggefasen. Det blir normalt utført tre inspeksjoner i anleggstiden. For større anlegg, som pågår over mange år, vil antall inspeksjoner tilpasses prosjektet.</w:t>
            </w:r>
          </w:p>
          <w:p w14:paraId="5959DA41" w14:textId="77777777" w:rsidR="00851A82" w:rsidRDefault="00851A82" w:rsidP="003D7F7E">
            <w:pPr>
              <w:rPr>
                <w:rFonts w:cs="Times New Roman"/>
                <w:sz w:val="22"/>
                <w:szCs w:val="22"/>
              </w:rPr>
            </w:pPr>
          </w:p>
          <w:p w14:paraId="6716C481" w14:textId="77777777" w:rsidR="00851A82" w:rsidRPr="001C4311" w:rsidRDefault="00851A82" w:rsidP="003D7F7E">
            <w:pPr>
              <w:rPr>
                <w:rFonts w:cs="Times New Roman"/>
                <w:i/>
                <w:iCs/>
                <w:sz w:val="22"/>
                <w:szCs w:val="22"/>
              </w:rPr>
            </w:pPr>
            <w:r w:rsidRPr="001C4311">
              <w:rPr>
                <w:rFonts w:cs="Times New Roman"/>
                <w:i/>
                <w:iCs/>
                <w:sz w:val="22"/>
                <w:szCs w:val="22"/>
              </w:rPr>
              <w:t>Dokumentkontroll</w:t>
            </w:r>
          </w:p>
          <w:p w14:paraId="47F11D8F" w14:textId="36588B1F" w:rsidR="00851A82" w:rsidRPr="00880A50" w:rsidRDefault="00851A82" w:rsidP="00060CE2">
            <w:pPr>
              <w:rPr>
                <w:sz w:val="22"/>
                <w:szCs w:val="22"/>
              </w:rPr>
            </w:pPr>
            <w:r w:rsidRPr="00880A50">
              <w:rPr>
                <w:sz w:val="22"/>
                <w:szCs w:val="22"/>
              </w:rPr>
              <w:t>Vassdragsanlegg i bygge- og driftsfasen ved mistanke om brudd på vilkår.</w:t>
            </w:r>
          </w:p>
          <w:p w14:paraId="085C186F" w14:textId="77777777" w:rsidR="00060CE2" w:rsidRPr="00145FCF" w:rsidRDefault="00060CE2" w:rsidP="00060CE2">
            <w:pPr>
              <w:rPr>
                <w:rFonts w:cs="Times New Roman"/>
                <w:sz w:val="22"/>
                <w:szCs w:val="22"/>
              </w:rPr>
            </w:pPr>
          </w:p>
          <w:p w14:paraId="0807CBEC" w14:textId="77777777" w:rsidR="00851A82" w:rsidRPr="00053D25" w:rsidRDefault="00851A82" w:rsidP="003D7F7E">
            <w:pPr>
              <w:rPr>
                <w:rFonts w:cs="Times New Roman"/>
                <w:i/>
                <w:sz w:val="22"/>
                <w:szCs w:val="22"/>
              </w:rPr>
            </w:pPr>
            <w:r>
              <w:rPr>
                <w:rFonts w:cs="Times New Roman"/>
                <w:i/>
                <w:sz w:val="22"/>
                <w:szCs w:val="22"/>
              </w:rPr>
              <w:t>R</w:t>
            </w:r>
            <w:r w:rsidRPr="00C833C9">
              <w:rPr>
                <w:rFonts w:cs="Times New Roman"/>
                <w:i/>
                <w:sz w:val="22"/>
                <w:szCs w:val="22"/>
              </w:rPr>
              <w:t>evisjon</w:t>
            </w:r>
          </w:p>
          <w:p w14:paraId="21F1BA96" w14:textId="08A70B2D" w:rsidR="00851A82" w:rsidRPr="00880A50" w:rsidRDefault="00210977" w:rsidP="00D94636">
            <w:pPr>
              <w:rPr>
                <w:sz w:val="22"/>
                <w:szCs w:val="22"/>
              </w:rPr>
            </w:pPr>
            <w:r w:rsidRPr="00880A50">
              <w:rPr>
                <w:sz w:val="22"/>
                <w:szCs w:val="22"/>
              </w:rPr>
              <w:t xml:space="preserve">Det er valgt ut </w:t>
            </w:r>
            <w:r w:rsidR="00851A82" w:rsidRPr="00880A50">
              <w:rPr>
                <w:sz w:val="22"/>
                <w:szCs w:val="22"/>
              </w:rPr>
              <w:t>2-4 vannkraftanlegg i tråd med avdelingens utvelgelse</w:t>
            </w:r>
            <w:r w:rsidR="00D94636" w:rsidRPr="00880A50">
              <w:rPr>
                <w:sz w:val="22"/>
                <w:szCs w:val="22"/>
              </w:rPr>
              <w:t xml:space="preserve">, og </w:t>
            </w:r>
            <w:r w:rsidR="00851A82" w:rsidRPr="00880A50">
              <w:rPr>
                <w:sz w:val="22"/>
                <w:szCs w:val="22"/>
              </w:rPr>
              <w:t>4-6 settefiskanlegg</w:t>
            </w:r>
            <w:r w:rsidR="00060CE2" w:rsidRPr="00880A50">
              <w:rPr>
                <w:sz w:val="22"/>
                <w:szCs w:val="22"/>
              </w:rPr>
              <w:t>.</w:t>
            </w:r>
          </w:p>
          <w:p w14:paraId="132EE229" w14:textId="77777777" w:rsidR="00060CE2" w:rsidRPr="00AA79D2" w:rsidRDefault="00060CE2" w:rsidP="00D94636">
            <w:pPr>
              <w:rPr>
                <w:rFonts w:cs="Times New Roman"/>
                <w:i/>
                <w:sz w:val="22"/>
                <w:szCs w:val="22"/>
              </w:rPr>
            </w:pPr>
          </w:p>
          <w:p w14:paraId="518FC25D" w14:textId="4241D4B8" w:rsidR="00851A82" w:rsidRDefault="00630B6F" w:rsidP="003D7F7E">
            <w:pPr>
              <w:rPr>
                <w:rFonts w:cs="Times New Roman"/>
                <w:i/>
                <w:sz w:val="22"/>
                <w:szCs w:val="22"/>
              </w:rPr>
            </w:pPr>
            <w:r>
              <w:rPr>
                <w:rFonts w:cs="Times New Roman"/>
                <w:i/>
                <w:sz w:val="22"/>
                <w:szCs w:val="22"/>
              </w:rPr>
              <w:t>Detaljplangodkjenning</w:t>
            </w:r>
          </w:p>
          <w:p w14:paraId="5C5A2560" w14:textId="77777777" w:rsidR="00851A82" w:rsidRPr="004F69C6" w:rsidRDefault="00A7647E" w:rsidP="00060CE2">
            <w:pPr>
              <w:spacing w:after="160"/>
              <w:rPr>
                <w:rFonts w:cs="Times New Roman"/>
                <w:sz w:val="22"/>
                <w:szCs w:val="22"/>
              </w:rPr>
            </w:pPr>
            <w:r w:rsidRPr="004F69C6">
              <w:rPr>
                <w:rFonts w:cs="Times New Roman"/>
                <w:sz w:val="22"/>
                <w:szCs w:val="22"/>
              </w:rPr>
              <w:t>Alle detaljplaner som søkes godkjent, skal kontrolleres opp mot vilkårene satt i konsesjonen.</w:t>
            </w:r>
          </w:p>
          <w:p w14:paraId="62B1F140" w14:textId="77777777" w:rsidR="004F69C6" w:rsidRPr="004F69C6" w:rsidRDefault="004F69C6" w:rsidP="009B3690">
            <w:pPr>
              <w:rPr>
                <w:i/>
                <w:sz w:val="22"/>
                <w:szCs w:val="22"/>
              </w:rPr>
            </w:pPr>
            <w:r w:rsidRPr="004F69C6">
              <w:rPr>
                <w:i/>
                <w:sz w:val="22"/>
                <w:szCs w:val="22"/>
              </w:rPr>
              <w:t>Innrapportering</w:t>
            </w:r>
          </w:p>
          <w:p w14:paraId="13205AA1" w14:textId="1227ADC2" w:rsidR="004F69C6" w:rsidRPr="004F69C6" w:rsidRDefault="004F69C6" w:rsidP="00060CE2">
            <w:pPr>
              <w:spacing w:after="160"/>
              <w:rPr>
                <w:iCs/>
              </w:rPr>
            </w:pPr>
            <w:r w:rsidRPr="009B3690">
              <w:rPr>
                <w:rFonts w:cs="Times New Roman"/>
                <w:sz w:val="22"/>
                <w:szCs w:val="22"/>
              </w:rPr>
              <w:t>N</w:t>
            </w:r>
            <w:r w:rsidR="009B3690" w:rsidRPr="009B3690">
              <w:rPr>
                <w:rFonts w:cs="Times New Roman"/>
                <w:sz w:val="22"/>
                <w:szCs w:val="22"/>
              </w:rPr>
              <w:t>orgesmagasinet, ca. 500 reguleringsmagasin følges opp ukentlig.</w:t>
            </w:r>
          </w:p>
        </w:tc>
      </w:tr>
    </w:tbl>
    <w:p w14:paraId="0EED4CEF" w14:textId="77777777" w:rsidR="00851A82" w:rsidRPr="00145FCF" w:rsidRDefault="00851A82" w:rsidP="00952D2A"/>
    <w:p w14:paraId="12271F96" w14:textId="77777777" w:rsidR="00952D2A" w:rsidRPr="00145FCF" w:rsidRDefault="00952D2A" w:rsidP="00952D2A"/>
    <w:p w14:paraId="01F37ADD" w14:textId="77777777" w:rsidR="00952D2A" w:rsidRPr="00145FCF" w:rsidRDefault="00952D2A" w:rsidP="00952D2A">
      <w:pPr>
        <w:pStyle w:val="Brdtekst"/>
        <w:numPr>
          <w:ilvl w:val="0"/>
          <w:numId w:val="5"/>
        </w:numPr>
        <w:spacing w:after="0"/>
      </w:pPr>
      <w:r w:rsidRPr="00145FCF">
        <w:t>Energiforsyning</w:t>
      </w:r>
    </w:p>
    <w:p w14:paraId="30E1AB87" w14:textId="77777777" w:rsidR="00AA66A4" w:rsidRDefault="00AA66A4" w:rsidP="00AA66A4">
      <w:pPr>
        <w:pStyle w:val="Brdtekst"/>
        <w:spacing w:after="0"/>
      </w:pPr>
    </w:p>
    <w:tbl>
      <w:tblPr>
        <w:tblStyle w:val="Tabellrutenett1"/>
        <w:tblW w:w="9351" w:type="dxa"/>
        <w:tblLook w:val="04A0" w:firstRow="1" w:lastRow="0" w:firstColumn="1" w:lastColumn="0" w:noHBand="0" w:noVBand="1"/>
      </w:tblPr>
      <w:tblGrid>
        <w:gridCol w:w="2689"/>
        <w:gridCol w:w="6662"/>
      </w:tblGrid>
      <w:tr w:rsidR="00830DFB" w:rsidRPr="00145FCF" w14:paraId="479A292A" w14:textId="77777777" w:rsidTr="003D7F7E">
        <w:tc>
          <w:tcPr>
            <w:tcW w:w="2689" w:type="dxa"/>
            <w:shd w:val="clear" w:color="auto" w:fill="0D0D0D" w:themeFill="text1" w:themeFillTint="F2"/>
          </w:tcPr>
          <w:p w14:paraId="278D3174" w14:textId="77777777" w:rsidR="00830DFB" w:rsidRPr="00145FCF" w:rsidRDefault="00830DFB" w:rsidP="003D7F7E">
            <w:pPr>
              <w:rPr>
                <w:color w:val="FFFFFF" w:themeColor="background1"/>
                <w:sz w:val="22"/>
                <w:szCs w:val="22"/>
              </w:rPr>
            </w:pPr>
            <w:r w:rsidRPr="00145FCF">
              <w:rPr>
                <w:color w:val="FFFFFF" w:themeColor="background1"/>
                <w:sz w:val="22"/>
                <w:szCs w:val="22"/>
              </w:rPr>
              <w:t>Miljøtilsyn</w:t>
            </w:r>
            <w:r w:rsidRPr="00145FCF">
              <w:rPr>
                <w:b/>
                <w:color w:val="FFFFFF" w:themeColor="background1"/>
                <w:sz w:val="22"/>
                <w:szCs w:val="22"/>
              </w:rPr>
              <w:t xml:space="preserve"> </w:t>
            </w:r>
            <w:r w:rsidRPr="00145FCF">
              <w:rPr>
                <w:color w:val="FFFFFF" w:themeColor="background1"/>
                <w:sz w:val="22"/>
                <w:szCs w:val="22"/>
              </w:rPr>
              <w:t>med</w:t>
            </w:r>
            <w:r w:rsidRPr="00145FCF">
              <w:rPr>
                <w:b/>
                <w:color w:val="FFFFFF" w:themeColor="background1"/>
                <w:sz w:val="22"/>
                <w:szCs w:val="22"/>
              </w:rPr>
              <w:t xml:space="preserve"> </w:t>
            </w:r>
            <w:r w:rsidRPr="00145FCF">
              <w:rPr>
                <w:color w:val="FFFFFF" w:themeColor="background1"/>
                <w:sz w:val="22"/>
                <w:szCs w:val="22"/>
              </w:rPr>
              <w:t>energianlegg</w:t>
            </w:r>
          </w:p>
        </w:tc>
        <w:tc>
          <w:tcPr>
            <w:tcW w:w="6662" w:type="dxa"/>
            <w:shd w:val="clear" w:color="auto" w:fill="0D0D0D" w:themeFill="text1" w:themeFillTint="F2"/>
          </w:tcPr>
          <w:p w14:paraId="6EAEEBD4" w14:textId="77777777" w:rsidR="00830DFB" w:rsidRPr="00145FCF" w:rsidRDefault="00830DFB" w:rsidP="003D7F7E">
            <w:pPr>
              <w:rPr>
                <w:color w:val="FFFFFF" w:themeColor="background1"/>
                <w:sz w:val="22"/>
                <w:szCs w:val="22"/>
              </w:rPr>
            </w:pPr>
            <w:r w:rsidRPr="00145FCF">
              <w:rPr>
                <w:color w:val="FFFFFF" w:themeColor="background1"/>
                <w:sz w:val="22"/>
                <w:szCs w:val="22"/>
              </w:rPr>
              <w:t>Tilsyns- og beredskapsavdelingen – seksjon for miljøtilsyn energianlegg</w:t>
            </w:r>
          </w:p>
        </w:tc>
      </w:tr>
      <w:tr w:rsidR="00830DFB" w:rsidRPr="00145FCF" w14:paraId="35824D5C" w14:textId="77777777" w:rsidTr="003D7F7E">
        <w:tc>
          <w:tcPr>
            <w:tcW w:w="2689" w:type="dxa"/>
          </w:tcPr>
          <w:p w14:paraId="002A018F" w14:textId="77777777" w:rsidR="00830DFB" w:rsidRPr="00145FCF" w:rsidRDefault="00830DFB" w:rsidP="003D7F7E">
            <w:pPr>
              <w:rPr>
                <w:i/>
                <w:sz w:val="22"/>
                <w:szCs w:val="22"/>
              </w:rPr>
            </w:pPr>
            <w:r w:rsidRPr="00145FCF">
              <w:rPr>
                <w:i/>
                <w:sz w:val="22"/>
                <w:szCs w:val="22"/>
              </w:rPr>
              <w:t>Tema</w:t>
            </w:r>
          </w:p>
        </w:tc>
        <w:tc>
          <w:tcPr>
            <w:tcW w:w="6662" w:type="dxa"/>
          </w:tcPr>
          <w:p w14:paraId="668A817F" w14:textId="77777777" w:rsidR="00830DFB" w:rsidRDefault="00830DFB" w:rsidP="003D7F7E">
            <w:pPr>
              <w:spacing w:after="160"/>
              <w:rPr>
                <w:rFonts w:cs="Times New Roman"/>
                <w:sz w:val="22"/>
                <w:szCs w:val="22"/>
              </w:rPr>
            </w:pPr>
            <w:r w:rsidRPr="00DA5F30">
              <w:rPr>
                <w:sz w:val="22"/>
                <w:szCs w:val="22"/>
              </w:rPr>
              <w:t xml:space="preserve">Det er for tiden stor aktivitet </w:t>
            </w:r>
            <w:r>
              <w:rPr>
                <w:sz w:val="22"/>
                <w:szCs w:val="22"/>
              </w:rPr>
              <w:t xml:space="preserve">knyttet til </w:t>
            </w:r>
            <w:r w:rsidRPr="00DA5F30">
              <w:rPr>
                <w:sz w:val="22"/>
                <w:szCs w:val="22"/>
              </w:rPr>
              <w:t xml:space="preserve">bygging </w:t>
            </w:r>
            <w:r>
              <w:rPr>
                <w:sz w:val="22"/>
                <w:szCs w:val="22"/>
              </w:rPr>
              <w:t xml:space="preserve">og idriftsettelse </w:t>
            </w:r>
            <w:r w:rsidRPr="00DA5F30">
              <w:rPr>
                <w:sz w:val="22"/>
                <w:szCs w:val="22"/>
              </w:rPr>
              <w:t>av vindkraftanlegg</w:t>
            </w:r>
            <w:r>
              <w:rPr>
                <w:sz w:val="22"/>
                <w:szCs w:val="22"/>
              </w:rPr>
              <w:t>,</w:t>
            </w:r>
            <w:r w:rsidRPr="00DA5F30">
              <w:rPr>
                <w:sz w:val="22"/>
                <w:szCs w:val="22"/>
              </w:rPr>
              <w:t xml:space="preserve"> og nettanlegg. Erfaring tilsier at </w:t>
            </w:r>
            <w:r>
              <w:rPr>
                <w:sz w:val="22"/>
                <w:szCs w:val="22"/>
              </w:rPr>
              <w:t>vindkraftverk</w:t>
            </w:r>
            <w:r w:rsidRPr="00DA5F30">
              <w:rPr>
                <w:sz w:val="22"/>
                <w:szCs w:val="22"/>
              </w:rPr>
              <w:t xml:space="preserve"> må følges </w:t>
            </w:r>
            <w:r>
              <w:rPr>
                <w:sz w:val="22"/>
                <w:szCs w:val="22"/>
              </w:rPr>
              <w:t xml:space="preserve">særlig </w:t>
            </w:r>
            <w:r w:rsidRPr="00DA5F30">
              <w:rPr>
                <w:sz w:val="22"/>
                <w:szCs w:val="22"/>
              </w:rPr>
              <w:t xml:space="preserve">tett opp </w:t>
            </w:r>
            <w:r>
              <w:rPr>
                <w:sz w:val="22"/>
                <w:szCs w:val="22"/>
              </w:rPr>
              <w:t>for å sikre etterlevelse av vilkår satt for å ivareta allmenne interesser både i bygge og driftsfasen</w:t>
            </w:r>
            <w:r w:rsidRPr="00DA5F30">
              <w:rPr>
                <w:sz w:val="22"/>
                <w:szCs w:val="22"/>
              </w:rPr>
              <w:t>.</w:t>
            </w:r>
            <w:r>
              <w:rPr>
                <w:sz w:val="22"/>
                <w:szCs w:val="22"/>
              </w:rPr>
              <w:t xml:space="preserve"> </w:t>
            </w:r>
            <w:r>
              <w:rPr>
                <w:rFonts w:cs="Times New Roman"/>
                <w:sz w:val="22"/>
                <w:szCs w:val="22"/>
              </w:rPr>
              <w:t xml:space="preserve">Alle anlegg i byggefasen kontrolleres da </w:t>
            </w:r>
            <w:r w:rsidRPr="00145FCF">
              <w:rPr>
                <w:rFonts w:cs="Times New Roman"/>
                <w:sz w:val="22"/>
                <w:szCs w:val="22"/>
              </w:rPr>
              <w:t xml:space="preserve">brudd på </w:t>
            </w:r>
            <w:r>
              <w:rPr>
                <w:rFonts w:cs="Times New Roman"/>
                <w:sz w:val="22"/>
                <w:szCs w:val="22"/>
              </w:rPr>
              <w:t xml:space="preserve">krav vil kunne </w:t>
            </w:r>
            <w:r w:rsidRPr="00145FCF">
              <w:rPr>
                <w:rFonts w:cs="Times New Roman"/>
                <w:sz w:val="22"/>
                <w:szCs w:val="22"/>
              </w:rPr>
              <w:t xml:space="preserve">ha store </w:t>
            </w:r>
            <w:r>
              <w:rPr>
                <w:rFonts w:cs="Times New Roman"/>
                <w:sz w:val="22"/>
                <w:szCs w:val="22"/>
              </w:rPr>
              <w:t xml:space="preserve">landskaps- og samfunnsmessige </w:t>
            </w:r>
            <w:r w:rsidRPr="00145FCF">
              <w:rPr>
                <w:rFonts w:cs="Times New Roman"/>
                <w:sz w:val="22"/>
                <w:szCs w:val="22"/>
              </w:rPr>
              <w:t>konsekvenser.</w:t>
            </w:r>
          </w:p>
          <w:p w14:paraId="6A96C7F7" w14:textId="77777777" w:rsidR="00830DFB" w:rsidRPr="00145FCF" w:rsidRDefault="00830DFB" w:rsidP="003D7F7E">
            <w:pPr>
              <w:spacing w:after="160"/>
              <w:rPr>
                <w:sz w:val="22"/>
                <w:szCs w:val="22"/>
              </w:rPr>
            </w:pPr>
            <w:r w:rsidRPr="00DA5F30">
              <w:rPr>
                <w:sz w:val="22"/>
                <w:szCs w:val="22"/>
              </w:rPr>
              <w:t>Fra 01.01.2019 er det krav til IK-system for å sikre ivaretakelse av miljø og landskap. I 202</w:t>
            </w:r>
            <w:r>
              <w:rPr>
                <w:sz w:val="22"/>
                <w:szCs w:val="22"/>
              </w:rPr>
              <w:t xml:space="preserve">1 </w:t>
            </w:r>
            <w:r w:rsidRPr="00DA5F30">
              <w:rPr>
                <w:sz w:val="22"/>
                <w:szCs w:val="22"/>
              </w:rPr>
              <w:t xml:space="preserve">planlegges </w:t>
            </w:r>
            <w:r>
              <w:rPr>
                <w:sz w:val="22"/>
                <w:szCs w:val="22"/>
              </w:rPr>
              <w:t xml:space="preserve">det en områdekartleging for å avdekke </w:t>
            </w:r>
            <w:r>
              <w:rPr>
                <w:sz w:val="22"/>
                <w:szCs w:val="22"/>
              </w:rPr>
              <w:lastRenderedPageBreak/>
              <w:t xml:space="preserve">statusen på arbeidet med å innarbeide systemet, og som utgangspunkt for videre kontroll. </w:t>
            </w:r>
          </w:p>
        </w:tc>
      </w:tr>
      <w:tr w:rsidR="00830DFB" w:rsidRPr="00145FCF" w14:paraId="7CACBB7B" w14:textId="77777777" w:rsidTr="003D7F7E">
        <w:tc>
          <w:tcPr>
            <w:tcW w:w="2689" w:type="dxa"/>
          </w:tcPr>
          <w:p w14:paraId="62DE9B36" w14:textId="4ABBE90C" w:rsidR="00830DFB" w:rsidRPr="00145FCF" w:rsidRDefault="005D1925" w:rsidP="003D7F7E">
            <w:pPr>
              <w:rPr>
                <w:i/>
                <w:sz w:val="22"/>
                <w:szCs w:val="22"/>
              </w:rPr>
            </w:pPr>
            <w:r>
              <w:rPr>
                <w:i/>
                <w:sz w:val="22"/>
                <w:szCs w:val="22"/>
              </w:rPr>
              <w:lastRenderedPageBreak/>
              <w:t>Tilsynso</w:t>
            </w:r>
            <w:r w:rsidRPr="00145FCF">
              <w:rPr>
                <w:i/>
                <w:sz w:val="22"/>
                <w:szCs w:val="22"/>
              </w:rPr>
              <w:t>bjekter</w:t>
            </w:r>
          </w:p>
        </w:tc>
        <w:tc>
          <w:tcPr>
            <w:tcW w:w="6662" w:type="dxa"/>
          </w:tcPr>
          <w:p w14:paraId="10F549D3" w14:textId="77777777" w:rsidR="00830DFB" w:rsidRPr="00F448CB" w:rsidRDefault="00830DFB" w:rsidP="003D7F7E">
            <w:pPr>
              <w:spacing w:after="160"/>
              <w:rPr>
                <w:bCs/>
                <w:sz w:val="22"/>
                <w:szCs w:val="22"/>
              </w:rPr>
            </w:pPr>
            <w:r w:rsidRPr="00F448CB">
              <w:rPr>
                <w:bCs/>
                <w:sz w:val="22"/>
                <w:szCs w:val="22"/>
              </w:rPr>
              <w:t xml:space="preserve">Miljøtilsynet følger opp alle konsesjonærer som søker om godkjenning av </w:t>
            </w:r>
            <w:r>
              <w:rPr>
                <w:bCs/>
                <w:sz w:val="22"/>
                <w:szCs w:val="22"/>
              </w:rPr>
              <w:t>miljø-, transport- og anleggsplan (MTA) gjennom vedtak i den enkelte sak</w:t>
            </w:r>
            <w:r w:rsidRPr="00F448CB">
              <w:rPr>
                <w:bCs/>
                <w:sz w:val="22"/>
                <w:szCs w:val="22"/>
              </w:rPr>
              <w:t xml:space="preserve">. </w:t>
            </w:r>
            <w:r>
              <w:rPr>
                <w:bCs/>
                <w:sz w:val="22"/>
                <w:szCs w:val="22"/>
              </w:rPr>
              <w:t xml:space="preserve">Formålet er å kontrollere at krav i konsesjonene blir etterlevd. </w:t>
            </w:r>
            <w:r w:rsidRPr="00F448CB">
              <w:rPr>
                <w:bCs/>
                <w:sz w:val="22"/>
                <w:szCs w:val="22"/>
              </w:rPr>
              <w:t xml:space="preserve">Når </w:t>
            </w:r>
            <w:r>
              <w:rPr>
                <w:bCs/>
                <w:sz w:val="22"/>
                <w:szCs w:val="22"/>
              </w:rPr>
              <w:t>MTA</w:t>
            </w:r>
            <w:r w:rsidRPr="00F448CB">
              <w:rPr>
                <w:bCs/>
                <w:sz w:val="22"/>
                <w:szCs w:val="22"/>
              </w:rPr>
              <w:t xml:space="preserve"> er godkjent</w:t>
            </w:r>
            <w:r>
              <w:rPr>
                <w:bCs/>
                <w:sz w:val="22"/>
                <w:szCs w:val="22"/>
              </w:rPr>
              <w:t>,</w:t>
            </w:r>
            <w:r w:rsidRPr="00F448CB">
              <w:rPr>
                <w:bCs/>
                <w:sz w:val="22"/>
                <w:szCs w:val="22"/>
              </w:rPr>
              <w:t xml:space="preserve"> følger vi opp anleggene i byggefasen for å sikre at vilkårene etterleves. Antall nye anlegg som kontrolleres hvert år avhenger av antall prosjekter som søker om godkjenning av detaljplan. </w:t>
            </w:r>
          </w:p>
          <w:p w14:paraId="2D1DEA03" w14:textId="1BF932C8" w:rsidR="00830DFB" w:rsidRDefault="00830DFB" w:rsidP="003D7F7E">
            <w:pPr>
              <w:rPr>
                <w:sz w:val="22"/>
                <w:szCs w:val="22"/>
              </w:rPr>
            </w:pPr>
            <w:r w:rsidRPr="00472D24">
              <w:rPr>
                <w:bCs/>
                <w:i/>
                <w:iCs/>
                <w:sz w:val="22"/>
                <w:szCs w:val="22"/>
              </w:rPr>
              <w:t>Vindkraft</w:t>
            </w:r>
            <w:r w:rsidR="00380348">
              <w:rPr>
                <w:b/>
                <w:sz w:val="22"/>
                <w:szCs w:val="22"/>
              </w:rPr>
              <w:t>:</w:t>
            </w:r>
            <w:r w:rsidRPr="00DA5F30">
              <w:rPr>
                <w:sz w:val="22"/>
                <w:szCs w:val="22"/>
              </w:rPr>
              <w:t xml:space="preserve"> </w:t>
            </w:r>
            <w:r>
              <w:rPr>
                <w:sz w:val="22"/>
                <w:szCs w:val="22"/>
              </w:rPr>
              <w:t>Alle v</w:t>
            </w:r>
            <w:r w:rsidRPr="00DA5F30">
              <w:rPr>
                <w:sz w:val="22"/>
                <w:szCs w:val="22"/>
              </w:rPr>
              <w:t xml:space="preserve">indkraftprosjekter </w:t>
            </w:r>
            <w:r w:rsidR="00273152">
              <w:rPr>
                <w:sz w:val="22"/>
                <w:szCs w:val="22"/>
              </w:rPr>
              <w:t>som er under by</w:t>
            </w:r>
            <w:r w:rsidR="00CA05DD">
              <w:rPr>
                <w:sz w:val="22"/>
                <w:szCs w:val="22"/>
              </w:rPr>
              <w:t>g</w:t>
            </w:r>
            <w:r w:rsidR="00273152">
              <w:rPr>
                <w:sz w:val="22"/>
                <w:szCs w:val="22"/>
              </w:rPr>
              <w:t>ging vil pri</w:t>
            </w:r>
            <w:r w:rsidR="00CA05DD">
              <w:rPr>
                <w:sz w:val="22"/>
                <w:szCs w:val="22"/>
              </w:rPr>
              <w:t xml:space="preserve">oriteres og </w:t>
            </w:r>
            <w:r w:rsidRPr="00DA5F30">
              <w:rPr>
                <w:sz w:val="22"/>
                <w:szCs w:val="22"/>
              </w:rPr>
              <w:t xml:space="preserve">følges opp da de berører betydelige areal og </w:t>
            </w:r>
            <w:r>
              <w:rPr>
                <w:sz w:val="22"/>
                <w:szCs w:val="22"/>
              </w:rPr>
              <w:t xml:space="preserve">det </w:t>
            </w:r>
            <w:r w:rsidRPr="00DA5F30">
              <w:rPr>
                <w:sz w:val="22"/>
                <w:szCs w:val="22"/>
              </w:rPr>
              <w:t>erfaringsmessig er stor risiko for konflikter mellom utbygging og ulike interessegrupper. I tillegg bygges anleggene under stramme tidsrammer</w:t>
            </w:r>
            <w:r>
              <w:rPr>
                <w:sz w:val="22"/>
                <w:szCs w:val="22"/>
              </w:rPr>
              <w:t>,</w:t>
            </w:r>
            <w:r w:rsidRPr="00DA5F30">
              <w:rPr>
                <w:sz w:val="22"/>
                <w:szCs w:val="22"/>
              </w:rPr>
              <w:t xml:space="preserve"> ofte i krevende terreng. </w:t>
            </w:r>
            <w:r w:rsidR="00565683">
              <w:rPr>
                <w:sz w:val="22"/>
                <w:szCs w:val="22"/>
              </w:rPr>
              <w:t>Tilsynso</w:t>
            </w:r>
            <w:r w:rsidRPr="00DA5F30">
              <w:rPr>
                <w:sz w:val="22"/>
                <w:szCs w:val="22"/>
              </w:rPr>
              <w:t>bjektene vil være vindkraftkonsesjonærer som har fått godkjent MTA og som er i byggefase</w:t>
            </w:r>
            <w:r>
              <w:rPr>
                <w:sz w:val="22"/>
                <w:szCs w:val="22"/>
              </w:rPr>
              <w:t xml:space="preserve">, samt objekter som har anlegg som skal </w:t>
            </w:r>
            <w:proofErr w:type="spellStart"/>
            <w:r>
              <w:rPr>
                <w:sz w:val="22"/>
                <w:szCs w:val="22"/>
              </w:rPr>
              <w:t>idriftsett</w:t>
            </w:r>
            <w:r w:rsidR="002B4451">
              <w:rPr>
                <w:sz w:val="22"/>
                <w:szCs w:val="22"/>
              </w:rPr>
              <w:t>e</w:t>
            </w:r>
            <w:r>
              <w:rPr>
                <w:sz w:val="22"/>
                <w:szCs w:val="22"/>
              </w:rPr>
              <w:t>s</w:t>
            </w:r>
            <w:proofErr w:type="spellEnd"/>
            <w:r w:rsidRPr="00DA5F30">
              <w:rPr>
                <w:sz w:val="22"/>
                <w:szCs w:val="22"/>
              </w:rPr>
              <w:t>. Spesielt fokus vil være:</w:t>
            </w:r>
          </w:p>
          <w:p w14:paraId="6FA73E11" w14:textId="77777777" w:rsidR="00830DFB" w:rsidRPr="00F448CB" w:rsidRDefault="00830DFB" w:rsidP="00830DFB">
            <w:pPr>
              <w:pStyle w:val="Listeavsnitt"/>
              <w:numPr>
                <w:ilvl w:val="0"/>
                <w:numId w:val="18"/>
              </w:numPr>
              <w:spacing w:after="160"/>
              <w:ind w:left="457"/>
              <w:rPr>
                <w:sz w:val="22"/>
                <w:szCs w:val="22"/>
              </w:rPr>
            </w:pPr>
            <w:r w:rsidRPr="00F448CB">
              <w:rPr>
                <w:sz w:val="22"/>
                <w:szCs w:val="22"/>
              </w:rPr>
              <w:t xml:space="preserve">Begrense arealinngrep og sikre god landskapstilpasning. </w:t>
            </w:r>
          </w:p>
          <w:p w14:paraId="7E050F3A" w14:textId="77777777" w:rsidR="00830DFB" w:rsidRPr="00F448CB" w:rsidRDefault="00830DFB" w:rsidP="00830DFB">
            <w:pPr>
              <w:pStyle w:val="Listeavsnitt"/>
              <w:numPr>
                <w:ilvl w:val="0"/>
                <w:numId w:val="18"/>
              </w:numPr>
              <w:spacing w:after="160"/>
              <w:ind w:left="457"/>
              <w:rPr>
                <w:sz w:val="22"/>
                <w:szCs w:val="22"/>
              </w:rPr>
            </w:pPr>
            <w:r w:rsidRPr="00F448CB">
              <w:rPr>
                <w:sz w:val="22"/>
                <w:szCs w:val="22"/>
              </w:rPr>
              <w:t>Hensyn til reindrift i anleggsfasen.</w:t>
            </w:r>
          </w:p>
          <w:p w14:paraId="23262A6B" w14:textId="77777777" w:rsidR="00830DFB" w:rsidRDefault="00830DFB" w:rsidP="00830DFB">
            <w:pPr>
              <w:pStyle w:val="Listeavsnitt"/>
              <w:numPr>
                <w:ilvl w:val="0"/>
                <w:numId w:val="18"/>
              </w:numPr>
              <w:spacing w:after="160"/>
              <w:ind w:left="457"/>
              <w:rPr>
                <w:sz w:val="22"/>
                <w:szCs w:val="22"/>
              </w:rPr>
            </w:pPr>
            <w:r w:rsidRPr="00F448CB">
              <w:rPr>
                <w:sz w:val="22"/>
                <w:szCs w:val="22"/>
              </w:rPr>
              <w:t xml:space="preserve">Hensyn til drikkevannsforsyning. </w:t>
            </w:r>
          </w:p>
          <w:p w14:paraId="0A361893" w14:textId="77777777" w:rsidR="00830DFB" w:rsidRPr="00F448CB" w:rsidRDefault="00830DFB" w:rsidP="00830DFB">
            <w:pPr>
              <w:pStyle w:val="Listeavsnitt"/>
              <w:numPr>
                <w:ilvl w:val="0"/>
                <w:numId w:val="18"/>
              </w:numPr>
              <w:spacing w:after="160"/>
              <w:ind w:left="457"/>
              <w:rPr>
                <w:sz w:val="22"/>
                <w:szCs w:val="22"/>
              </w:rPr>
            </w:pPr>
            <w:r>
              <w:rPr>
                <w:sz w:val="22"/>
                <w:szCs w:val="22"/>
              </w:rPr>
              <w:t>Ivaretagelse av vilkår i konsesjonen</w:t>
            </w:r>
          </w:p>
          <w:p w14:paraId="585980BD" w14:textId="421DDA08" w:rsidR="00830DFB" w:rsidRPr="00DA5F30" w:rsidRDefault="00830DFB" w:rsidP="003D7F7E">
            <w:pPr>
              <w:spacing w:after="160"/>
              <w:rPr>
                <w:rFonts w:cs="Times New Roman"/>
                <w:sz w:val="22"/>
                <w:szCs w:val="22"/>
              </w:rPr>
            </w:pPr>
            <w:r w:rsidRPr="00472D24">
              <w:rPr>
                <w:bCs/>
                <w:i/>
                <w:iCs/>
                <w:sz w:val="22"/>
                <w:szCs w:val="22"/>
              </w:rPr>
              <w:t>Nettanlegg</w:t>
            </w:r>
            <w:r w:rsidR="00380348">
              <w:rPr>
                <w:b/>
                <w:sz w:val="22"/>
                <w:szCs w:val="22"/>
              </w:rPr>
              <w:t>:</w:t>
            </w:r>
            <w:r w:rsidRPr="00DA5F30">
              <w:rPr>
                <w:sz w:val="22"/>
                <w:szCs w:val="22"/>
              </w:rPr>
              <w:t xml:space="preserve"> Overføringsledninger er </w:t>
            </w:r>
            <w:r>
              <w:rPr>
                <w:sz w:val="22"/>
                <w:szCs w:val="22"/>
              </w:rPr>
              <w:t xml:space="preserve">omfattende anlegg og </w:t>
            </w:r>
            <w:r w:rsidRPr="00DA5F30">
              <w:rPr>
                <w:sz w:val="22"/>
                <w:szCs w:val="22"/>
              </w:rPr>
              <w:t>et tydelig landskapselement som krever gode tiltak</w:t>
            </w:r>
            <w:r>
              <w:rPr>
                <w:sz w:val="22"/>
                <w:szCs w:val="22"/>
              </w:rPr>
              <w:t>,</w:t>
            </w:r>
            <w:r w:rsidRPr="00DA5F30">
              <w:rPr>
                <w:sz w:val="22"/>
                <w:szCs w:val="22"/>
              </w:rPr>
              <w:t xml:space="preserve"> ofte i utfordrende terreng. </w:t>
            </w:r>
            <w:r>
              <w:rPr>
                <w:sz w:val="22"/>
                <w:szCs w:val="22"/>
              </w:rPr>
              <w:t xml:space="preserve">Objekter med anlegg i sårbare naturområder og med kort </w:t>
            </w:r>
            <w:proofErr w:type="spellStart"/>
            <w:r>
              <w:rPr>
                <w:sz w:val="22"/>
                <w:szCs w:val="22"/>
              </w:rPr>
              <w:t>byggesesong</w:t>
            </w:r>
            <w:proofErr w:type="spellEnd"/>
            <w:r>
              <w:rPr>
                <w:sz w:val="22"/>
                <w:szCs w:val="22"/>
              </w:rPr>
              <w:t xml:space="preserve"> vil </w:t>
            </w:r>
            <w:r w:rsidRPr="00DA5F30">
              <w:rPr>
                <w:sz w:val="22"/>
                <w:szCs w:val="22"/>
              </w:rPr>
              <w:t>prioriter</w:t>
            </w:r>
            <w:r>
              <w:rPr>
                <w:sz w:val="22"/>
                <w:szCs w:val="22"/>
              </w:rPr>
              <w:t>es</w:t>
            </w:r>
            <w:r w:rsidRPr="00DA5F30">
              <w:rPr>
                <w:sz w:val="22"/>
                <w:szCs w:val="22"/>
              </w:rPr>
              <w:t>.</w:t>
            </w:r>
          </w:p>
        </w:tc>
      </w:tr>
      <w:tr w:rsidR="00830DFB" w:rsidRPr="00145FCF" w14:paraId="78D28E3E" w14:textId="77777777" w:rsidTr="003D7F7E">
        <w:tc>
          <w:tcPr>
            <w:tcW w:w="2689" w:type="dxa"/>
          </w:tcPr>
          <w:p w14:paraId="09A1624F" w14:textId="77777777" w:rsidR="00830DFB" w:rsidRPr="00145FCF" w:rsidRDefault="00830DFB" w:rsidP="003D7F7E">
            <w:pPr>
              <w:rPr>
                <w:i/>
                <w:sz w:val="22"/>
                <w:szCs w:val="22"/>
              </w:rPr>
            </w:pPr>
            <w:r w:rsidRPr="00145FCF">
              <w:rPr>
                <w:i/>
                <w:sz w:val="22"/>
                <w:szCs w:val="22"/>
              </w:rPr>
              <w:t>Kontrollmetoder</w:t>
            </w:r>
          </w:p>
        </w:tc>
        <w:tc>
          <w:tcPr>
            <w:tcW w:w="6662" w:type="dxa"/>
          </w:tcPr>
          <w:p w14:paraId="0F4537A9" w14:textId="028F9BBB" w:rsidR="00830DFB" w:rsidRDefault="00830DFB" w:rsidP="003D7F7E">
            <w:pPr>
              <w:spacing w:after="160"/>
              <w:rPr>
                <w:sz w:val="22"/>
                <w:szCs w:val="22"/>
              </w:rPr>
            </w:pPr>
            <w:r w:rsidRPr="00DA5F30">
              <w:rPr>
                <w:sz w:val="22"/>
                <w:szCs w:val="22"/>
              </w:rPr>
              <w:t>Kontrollmetode og hyppighet baseres på risikovurdering</w:t>
            </w:r>
            <w:r>
              <w:rPr>
                <w:sz w:val="22"/>
                <w:szCs w:val="22"/>
              </w:rPr>
              <w:t xml:space="preserve"> </w:t>
            </w:r>
            <w:r w:rsidR="002B4451">
              <w:rPr>
                <w:sz w:val="22"/>
                <w:szCs w:val="22"/>
              </w:rPr>
              <w:t xml:space="preserve">og </w:t>
            </w:r>
            <w:r w:rsidR="00570681">
              <w:rPr>
                <w:sz w:val="22"/>
                <w:szCs w:val="22"/>
              </w:rPr>
              <w:t xml:space="preserve">vil </w:t>
            </w:r>
            <w:r w:rsidR="002B4451">
              <w:rPr>
                <w:sz w:val="22"/>
                <w:szCs w:val="22"/>
              </w:rPr>
              <w:t>være inspeksjon, dokumentkontroll og</w:t>
            </w:r>
            <w:r w:rsidR="00EC5199">
              <w:rPr>
                <w:sz w:val="22"/>
                <w:szCs w:val="22"/>
              </w:rPr>
              <w:t>/eller</w:t>
            </w:r>
            <w:r w:rsidR="002B4451">
              <w:rPr>
                <w:sz w:val="22"/>
                <w:szCs w:val="22"/>
              </w:rPr>
              <w:t xml:space="preserve"> spørreundersøkelse</w:t>
            </w:r>
            <w:r w:rsidRPr="00DA5F30">
              <w:rPr>
                <w:sz w:val="22"/>
                <w:szCs w:val="22"/>
              </w:rPr>
              <w:t xml:space="preserve">. </w:t>
            </w:r>
          </w:p>
          <w:p w14:paraId="6D750264" w14:textId="5C972658" w:rsidR="00830DFB" w:rsidRPr="00DA5F30" w:rsidRDefault="002B4451" w:rsidP="003D7F7E">
            <w:pPr>
              <w:spacing w:after="160"/>
              <w:rPr>
                <w:sz w:val="22"/>
                <w:szCs w:val="22"/>
              </w:rPr>
            </w:pPr>
            <w:r>
              <w:rPr>
                <w:sz w:val="22"/>
                <w:szCs w:val="22"/>
              </w:rPr>
              <w:t>I</w:t>
            </w:r>
            <w:r w:rsidR="00830DFB" w:rsidRPr="00F64D97">
              <w:rPr>
                <w:sz w:val="22"/>
                <w:szCs w:val="22"/>
              </w:rPr>
              <w:t>nspeksjoner vil benyttes for å etterprøve at kravene under byggefasen blir ivaretatt. Kontrollen vil innebære fysisk tilstedeværelse av tilsynspersonell</w:t>
            </w:r>
            <w:r w:rsidR="00830DFB">
              <w:rPr>
                <w:sz w:val="22"/>
                <w:szCs w:val="22"/>
              </w:rPr>
              <w:t xml:space="preserve">. Omfanget tilpasses prosjektene, men det </w:t>
            </w:r>
            <w:r w:rsidR="00830DFB" w:rsidRPr="00F64D97">
              <w:rPr>
                <w:sz w:val="22"/>
                <w:szCs w:val="22"/>
              </w:rPr>
              <w:t>blir normalt utført tre inspeksjoner i anleggs</w:t>
            </w:r>
            <w:r w:rsidR="00830DFB">
              <w:rPr>
                <w:sz w:val="22"/>
                <w:szCs w:val="22"/>
              </w:rPr>
              <w:t xml:space="preserve">fasen for vindkraftverk. </w:t>
            </w:r>
          </w:p>
          <w:p w14:paraId="3CE9B8C7" w14:textId="77777777" w:rsidR="00830DFB" w:rsidRDefault="00830DFB" w:rsidP="003D7F7E">
            <w:pPr>
              <w:spacing w:after="160"/>
              <w:rPr>
                <w:sz w:val="22"/>
                <w:szCs w:val="22"/>
              </w:rPr>
            </w:pPr>
            <w:r w:rsidRPr="008D6C07">
              <w:rPr>
                <w:sz w:val="22"/>
                <w:szCs w:val="22"/>
              </w:rPr>
              <w:t>Dokumentkontroll</w:t>
            </w:r>
            <w:r w:rsidRPr="00DA5F30">
              <w:rPr>
                <w:sz w:val="22"/>
                <w:szCs w:val="22"/>
              </w:rPr>
              <w:t>, inklusiv innsending av bildedokumentasjon vil benyttes som supplement til inspeksjoner og som kontrollmetode for anlegg med lav risiko.</w:t>
            </w:r>
            <w:r>
              <w:rPr>
                <w:sz w:val="22"/>
                <w:szCs w:val="22"/>
              </w:rPr>
              <w:t xml:space="preserve"> Dokumentkontroll vil også benyttes til kontroll med ivaretagelse av konsesjonsvilkår.</w:t>
            </w:r>
          </w:p>
          <w:p w14:paraId="6D628D45" w14:textId="77777777" w:rsidR="00830DFB" w:rsidRPr="00DA5F30" w:rsidRDefault="00830DFB" w:rsidP="003D7F7E">
            <w:pPr>
              <w:spacing w:after="160"/>
              <w:rPr>
                <w:sz w:val="22"/>
                <w:szCs w:val="22"/>
              </w:rPr>
            </w:pPr>
            <w:r>
              <w:rPr>
                <w:sz w:val="22"/>
                <w:szCs w:val="22"/>
              </w:rPr>
              <w:t>Spørreundersøkelse vil bli benyttet for å kartlegge statusen på innarbeidelsen av IK-system knyttet til landskap og miljø.</w:t>
            </w:r>
          </w:p>
        </w:tc>
      </w:tr>
    </w:tbl>
    <w:p w14:paraId="5A8013E6" w14:textId="7E885816" w:rsidR="00153ED8" w:rsidRDefault="00153ED8" w:rsidP="00952D2A">
      <w:pPr>
        <w:pStyle w:val="Brdtekst"/>
        <w:spacing w:after="0"/>
        <w:ind w:left="60"/>
      </w:pPr>
    </w:p>
    <w:tbl>
      <w:tblPr>
        <w:tblW w:w="9351" w:type="dxa"/>
        <w:tblCellMar>
          <w:left w:w="0" w:type="dxa"/>
          <w:right w:w="0" w:type="dxa"/>
        </w:tblCellMar>
        <w:tblLook w:val="04A0" w:firstRow="1" w:lastRow="0" w:firstColumn="1" w:lastColumn="0" w:noHBand="0" w:noVBand="1"/>
      </w:tblPr>
      <w:tblGrid>
        <w:gridCol w:w="2689"/>
        <w:gridCol w:w="6662"/>
      </w:tblGrid>
      <w:tr w:rsidR="006E0878" w:rsidRPr="00AD0F45" w14:paraId="626301A7" w14:textId="77777777" w:rsidTr="003D7F7E">
        <w:tc>
          <w:tcPr>
            <w:tcW w:w="2689" w:type="dxa"/>
            <w:tcBorders>
              <w:top w:val="single" w:sz="8" w:space="0" w:color="auto"/>
              <w:left w:val="single" w:sz="8" w:space="0" w:color="auto"/>
              <w:bottom w:val="single" w:sz="8" w:space="0" w:color="auto"/>
              <w:right w:val="single" w:sz="8" w:space="0" w:color="auto"/>
            </w:tcBorders>
            <w:shd w:val="clear" w:color="auto" w:fill="0D0D0D"/>
            <w:tcMar>
              <w:top w:w="0" w:type="dxa"/>
              <w:left w:w="108" w:type="dxa"/>
              <w:bottom w:w="0" w:type="dxa"/>
              <w:right w:w="108" w:type="dxa"/>
            </w:tcMar>
            <w:hideMark/>
          </w:tcPr>
          <w:p w14:paraId="779D0F71" w14:textId="77777777" w:rsidR="006E0878" w:rsidRPr="00AD0F45" w:rsidRDefault="006E0878" w:rsidP="003D7F7E">
            <w:r w:rsidRPr="00AD0F45">
              <w:t>Rasjoneringsplaner</w:t>
            </w:r>
          </w:p>
        </w:tc>
        <w:tc>
          <w:tcPr>
            <w:tcW w:w="6662" w:type="dxa"/>
            <w:tcBorders>
              <w:top w:val="single" w:sz="8" w:space="0" w:color="auto"/>
              <w:left w:val="nil"/>
              <w:bottom w:val="single" w:sz="8" w:space="0" w:color="auto"/>
              <w:right w:val="single" w:sz="8" w:space="0" w:color="auto"/>
            </w:tcBorders>
            <w:shd w:val="clear" w:color="auto" w:fill="0D0D0D"/>
            <w:tcMar>
              <w:top w:w="0" w:type="dxa"/>
              <w:left w:w="108" w:type="dxa"/>
              <w:bottom w:w="0" w:type="dxa"/>
              <w:right w:w="108" w:type="dxa"/>
            </w:tcMar>
          </w:tcPr>
          <w:p w14:paraId="5F66633A" w14:textId="6FBFF74C" w:rsidR="006E0878" w:rsidRPr="00AD0F45" w:rsidRDefault="006E0878" w:rsidP="003D7F7E">
            <w:r w:rsidRPr="00AD0F45">
              <w:t>Energi</w:t>
            </w:r>
            <w:r w:rsidR="00943A52">
              <w:t>- og konsesjons</w:t>
            </w:r>
            <w:r w:rsidRPr="00AD0F45">
              <w:t xml:space="preserve">avdelingen – </w:t>
            </w:r>
          </w:p>
          <w:p w14:paraId="75F9879A" w14:textId="77777777" w:rsidR="006E0878" w:rsidRPr="00AD0F45" w:rsidRDefault="006E0878" w:rsidP="003D7F7E">
            <w:r w:rsidRPr="00AD0F45">
              <w:t>seksjon for kraftsystem</w:t>
            </w:r>
          </w:p>
          <w:p w14:paraId="00D40F7E" w14:textId="77777777" w:rsidR="006E0878" w:rsidRPr="00AD0F45" w:rsidRDefault="006E0878" w:rsidP="003D7F7E"/>
        </w:tc>
      </w:tr>
      <w:tr w:rsidR="006E0878" w:rsidRPr="00AD0F45" w14:paraId="144B0BC0" w14:textId="77777777" w:rsidTr="003D7F7E">
        <w:trPr>
          <w:trHeight w:val="453"/>
        </w:trPr>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35C4F" w14:textId="77777777" w:rsidR="006E0878" w:rsidRPr="00AD0F45" w:rsidRDefault="006E0878" w:rsidP="003D7F7E">
            <w:pPr>
              <w:rPr>
                <w:i/>
                <w:iCs/>
              </w:rPr>
            </w:pPr>
            <w:r w:rsidRPr="00AD0F45">
              <w:rPr>
                <w:i/>
                <w:iCs/>
              </w:rPr>
              <w:t>Tema</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14:paraId="3238EC36" w14:textId="77777777" w:rsidR="006E0878" w:rsidRDefault="006E0878" w:rsidP="003D7F7E">
            <w:r>
              <w:t>Planer for gjennomføring av kraftrasjonering for nettselskaper.</w:t>
            </w:r>
          </w:p>
          <w:p w14:paraId="4CCA9F38" w14:textId="44FD33D0" w:rsidR="006E0878" w:rsidRPr="00D57CBB" w:rsidRDefault="006E0878" w:rsidP="003D7F7E">
            <w:pPr>
              <w:rPr>
                <w:highlight w:val="yellow"/>
              </w:rPr>
            </w:pPr>
            <w:r>
              <w:t>NVE gjorde i 2018 en endring i forskrift om kraftrasjonering der krav til rasjoneringsplaner ble innlemmet i forskrift. Erfaringer fra tilsyn de siste årene viser varierende kvalitet på planer for kraftrasjonering. Det planlagt</w:t>
            </w:r>
            <w:r w:rsidR="00AE6841">
              <w:t>e</w:t>
            </w:r>
            <w:r>
              <w:t xml:space="preserve"> tilsyn</w:t>
            </w:r>
            <w:r w:rsidR="00AE6841">
              <w:t>et</w:t>
            </w:r>
            <w:r>
              <w:t xml:space="preserve"> i 2020</w:t>
            </w:r>
            <w:r w:rsidR="00AE6841">
              <w:t xml:space="preserve"> måtte utsettes</w:t>
            </w:r>
            <w:r w:rsidR="003B6738">
              <w:t xml:space="preserve"> og vil bli </w:t>
            </w:r>
            <w:r>
              <w:t>gjennomfør</w:t>
            </w:r>
            <w:r w:rsidR="003B6738">
              <w:t>t</w:t>
            </w:r>
            <w:r>
              <w:t xml:space="preserve"> i 2021. </w:t>
            </w:r>
            <w:r>
              <w:lastRenderedPageBreak/>
              <w:t>Fokus for tilsynet vil være kontroll av om kravene til innhold i rasjoneringsplanene er oppfylt.</w:t>
            </w:r>
          </w:p>
        </w:tc>
      </w:tr>
      <w:tr w:rsidR="006E0878" w:rsidRPr="00AD0F45" w14:paraId="5356261B" w14:textId="77777777" w:rsidTr="003D7F7E">
        <w:trPr>
          <w:trHeight w:val="403"/>
        </w:trPr>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E8783" w14:textId="5B37F998" w:rsidR="006E0878" w:rsidRPr="00AD0F45" w:rsidRDefault="005D1925" w:rsidP="003D7F7E">
            <w:pPr>
              <w:rPr>
                <w:i/>
                <w:iCs/>
              </w:rPr>
            </w:pPr>
            <w:r>
              <w:rPr>
                <w:i/>
              </w:rPr>
              <w:lastRenderedPageBreak/>
              <w:t>Tilsynso</w:t>
            </w:r>
            <w:r w:rsidRPr="00145FCF">
              <w:rPr>
                <w:i/>
              </w:rPr>
              <w:t>bjekter</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14:paraId="2E71805C" w14:textId="77777777" w:rsidR="006E0878" w:rsidRPr="00D57CBB" w:rsidRDefault="006E0878" w:rsidP="003D7F7E">
            <w:pPr>
              <w:rPr>
                <w:highlight w:val="yellow"/>
              </w:rPr>
            </w:pPr>
            <w:r w:rsidRPr="00490038">
              <w:t xml:space="preserve">Enheter i KBO med områdekonsesjon. </w:t>
            </w:r>
            <w:r>
              <w:t>I 2021 planlegger energiavdelingen skriftlig kontroll med alle enheter som ikke har hatt tilsyn de siste årene.</w:t>
            </w:r>
          </w:p>
        </w:tc>
      </w:tr>
      <w:tr w:rsidR="006E0878" w:rsidRPr="00AD0F45" w14:paraId="73F52B9C" w14:textId="77777777" w:rsidTr="003D7F7E">
        <w:trPr>
          <w:trHeight w:val="409"/>
        </w:trPr>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0CE19" w14:textId="77777777" w:rsidR="006E0878" w:rsidRPr="00AD0F45" w:rsidRDefault="006E0878" w:rsidP="003D7F7E">
            <w:pPr>
              <w:rPr>
                <w:i/>
                <w:iCs/>
              </w:rPr>
            </w:pPr>
            <w:r>
              <w:rPr>
                <w:i/>
                <w:iCs/>
              </w:rPr>
              <w:t>Kontroll</w:t>
            </w:r>
            <w:r w:rsidRPr="00AD0F45">
              <w:rPr>
                <w:i/>
                <w:iCs/>
              </w:rPr>
              <w:t>metoder</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14:paraId="58EF6B53" w14:textId="77777777" w:rsidR="006E0878" w:rsidRPr="00D57CBB" w:rsidRDefault="006E0878" w:rsidP="003D7F7E">
            <w:pPr>
              <w:rPr>
                <w:highlight w:val="yellow"/>
              </w:rPr>
            </w:pPr>
            <w:r w:rsidRPr="00841953">
              <w:t>Dokumentkontroll</w:t>
            </w:r>
          </w:p>
        </w:tc>
      </w:tr>
    </w:tbl>
    <w:p w14:paraId="4FA835A8" w14:textId="77777777" w:rsidR="00153ED8" w:rsidRPr="00145FCF" w:rsidRDefault="00153ED8" w:rsidP="00952D2A">
      <w:pPr>
        <w:pStyle w:val="Brdtekst"/>
        <w:spacing w:after="0"/>
        <w:ind w:left="60"/>
      </w:pPr>
    </w:p>
    <w:tbl>
      <w:tblPr>
        <w:tblW w:w="9351" w:type="dxa"/>
        <w:tblCellMar>
          <w:left w:w="0" w:type="dxa"/>
          <w:right w:w="0" w:type="dxa"/>
        </w:tblCellMar>
        <w:tblLook w:val="04A0" w:firstRow="1" w:lastRow="0" w:firstColumn="1" w:lastColumn="0" w:noHBand="0" w:noVBand="1"/>
      </w:tblPr>
      <w:tblGrid>
        <w:gridCol w:w="2689"/>
        <w:gridCol w:w="6662"/>
      </w:tblGrid>
      <w:tr w:rsidR="00014394" w:rsidRPr="00AD0F45" w14:paraId="3E6D8B08" w14:textId="77777777" w:rsidTr="003D7F7E">
        <w:tc>
          <w:tcPr>
            <w:tcW w:w="2689" w:type="dxa"/>
            <w:tcBorders>
              <w:top w:val="single" w:sz="8" w:space="0" w:color="auto"/>
              <w:left w:val="single" w:sz="8" w:space="0" w:color="auto"/>
              <w:bottom w:val="single" w:sz="8" w:space="0" w:color="auto"/>
              <w:right w:val="single" w:sz="8" w:space="0" w:color="auto"/>
            </w:tcBorders>
            <w:shd w:val="clear" w:color="auto" w:fill="0D0D0D"/>
            <w:tcMar>
              <w:top w:w="0" w:type="dxa"/>
              <w:left w:w="108" w:type="dxa"/>
              <w:bottom w:w="0" w:type="dxa"/>
              <w:right w:w="108" w:type="dxa"/>
            </w:tcMar>
            <w:hideMark/>
          </w:tcPr>
          <w:p w14:paraId="58F9ED28" w14:textId="77777777" w:rsidR="00014394" w:rsidRPr="00AD0F45" w:rsidRDefault="00014394" w:rsidP="003D7F7E">
            <w:pPr>
              <w:rPr>
                <w:b/>
                <w:bCs/>
              </w:rPr>
            </w:pPr>
            <w:r w:rsidRPr="00AD0F45">
              <w:t>Kraftsystemutredning</w:t>
            </w:r>
            <w:r w:rsidRPr="00AD0F45">
              <w:rPr>
                <w:b/>
                <w:bCs/>
              </w:rPr>
              <w:t xml:space="preserve"> </w:t>
            </w:r>
            <w:r w:rsidRPr="00AD0F45">
              <w:t>for</w:t>
            </w:r>
            <w:r w:rsidRPr="00AD0F45">
              <w:rPr>
                <w:b/>
                <w:bCs/>
              </w:rPr>
              <w:t xml:space="preserve"> </w:t>
            </w:r>
            <w:r w:rsidRPr="00AD0F45">
              <w:t>transmisjonsnettet</w:t>
            </w:r>
          </w:p>
        </w:tc>
        <w:tc>
          <w:tcPr>
            <w:tcW w:w="6662" w:type="dxa"/>
            <w:tcBorders>
              <w:top w:val="single" w:sz="8" w:space="0" w:color="auto"/>
              <w:left w:val="nil"/>
              <w:bottom w:val="single" w:sz="8" w:space="0" w:color="auto"/>
              <w:right w:val="single" w:sz="8" w:space="0" w:color="auto"/>
            </w:tcBorders>
            <w:shd w:val="clear" w:color="auto" w:fill="0D0D0D"/>
            <w:tcMar>
              <w:top w:w="0" w:type="dxa"/>
              <w:left w:w="108" w:type="dxa"/>
              <w:bottom w:w="0" w:type="dxa"/>
              <w:right w:w="108" w:type="dxa"/>
            </w:tcMar>
          </w:tcPr>
          <w:p w14:paraId="070BF771" w14:textId="376A845A" w:rsidR="00014394" w:rsidRPr="00AD0F45" w:rsidRDefault="00014394" w:rsidP="003D7F7E">
            <w:r w:rsidRPr="00AD0F45">
              <w:t>Energi</w:t>
            </w:r>
            <w:r>
              <w:t>- og konsesjons</w:t>
            </w:r>
            <w:r w:rsidRPr="00AD0F45">
              <w:t>avdelingen –</w:t>
            </w:r>
          </w:p>
          <w:p w14:paraId="712070B5" w14:textId="77777777" w:rsidR="00014394" w:rsidRPr="00AD0F45" w:rsidRDefault="00014394" w:rsidP="003D7F7E">
            <w:r w:rsidRPr="00AD0F45">
              <w:t>seksjon for kraftsystem</w:t>
            </w:r>
          </w:p>
          <w:p w14:paraId="0490B49D" w14:textId="77777777" w:rsidR="00014394" w:rsidRPr="00AD0F45" w:rsidRDefault="00014394" w:rsidP="003D7F7E">
            <w:pPr>
              <w:rPr>
                <w:b/>
                <w:bCs/>
              </w:rPr>
            </w:pPr>
          </w:p>
        </w:tc>
      </w:tr>
      <w:tr w:rsidR="00014394" w:rsidRPr="00AD0F45" w14:paraId="216DF49C" w14:textId="77777777" w:rsidTr="003D7F7E">
        <w:trPr>
          <w:trHeight w:val="390"/>
        </w:trPr>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B7AE4" w14:textId="77777777" w:rsidR="00014394" w:rsidRPr="00AD0F45" w:rsidRDefault="00014394" w:rsidP="003D7F7E">
            <w:pPr>
              <w:rPr>
                <w:i/>
                <w:iCs/>
              </w:rPr>
            </w:pPr>
            <w:r w:rsidRPr="00AD0F45">
              <w:rPr>
                <w:i/>
                <w:iCs/>
              </w:rPr>
              <w:t>Tema</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14:paraId="229F3771" w14:textId="6669CCEB" w:rsidR="00014394" w:rsidRDefault="00014394" w:rsidP="009530F2">
            <w:pPr>
              <w:pStyle w:val="Brdtekst"/>
            </w:pPr>
            <w:r>
              <w:t>Annet hvert år leveres kraftsystemutredninger for transmisjonsnettet. Kraftsystemet er i stadig endring og gode utredninger er viktige for å sørge for en koordinert og samfunnsmessig rasjonell utvikling av systemet.</w:t>
            </w:r>
          </w:p>
          <w:p w14:paraId="511EB0B5" w14:textId="77777777" w:rsidR="00014394" w:rsidRPr="00AD0F45" w:rsidRDefault="00014394" w:rsidP="009530F2">
            <w:pPr>
              <w:pStyle w:val="Brdtekst"/>
            </w:pPr>
            <w:r>
              <w:t>For KSU 2019 fikk Statnett to avvik med frist for retting i forbindelse med KSU 2021. Dette vil følges opp videre i årets kontroll. Videre vil det også bli gjennomført tilsyn med den oppdaterte kraftsystemutredningen i 2021 for å sikre at den møter krav til innhold gitt av forskrift om energiutredninger på en god måte.</w:t>
            </w:r>
          </w:p>
        </w:tc>
      </w:tr>
      <w:tr w:rsidR="00014394" w:rsidRPr="00AD0F45" w14:paraId="68EB9960" w14:textId="77777777" w:rsidTr="003D7F7E">
        <w:trPr>
          <w:trHeight w:val="365"/>
        </w:trPr>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DCAE2" w14:textId="7EB82479" w:rsidR="00014394" w:rsidRPr="00AD0F45" w:rsidRDefault="005D1925" w:rsidP="003D7F7E">
            <w:pPr>
              <w:rPr>
                <w:i/>
                <w:iCs/>
              </w:rPr>
            </w:pPr>
            <w:r>
              <w:rPr>
                <w:i/>
              </w:rPr>
              <w:t>Tilsynso</w:t>
            </w:r>
            <w:r w:rsidRPr="00145FCF">
              <w:rPr>
                <w:i/>
              </w:rPr>
              <w:t>bjekter</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14:paraId="4D6CFB25" w14:textId="77777777" w:rsidR="00014394" w:rsidRPr="00AD0F45" w:rsidRDefault="00014394" w:rsidP="003D7F7E">
            <w:r>
              <w:t>Statnett</w:t>
            </w:r>
          </w:p>
        </w:tc>
      </w:tr>
      <w:tr w:rsidR="00014394" w:rsidRPr="00AD0F45" w14:paraId="663CAECB" w14:textId="77777777" w:rsidTr="003D7F7E">
        <w:trPr>
          <w:trHeight w:val="301"/>
        </w:trPr>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7D709" w14:textId="77777777" w:rsidR="00014394" w:rsidRPr="00AD0F45" w:rsidRDefault="00014394" w:rsidP="003D7F7E">
            <w:pPr>
              <w:rPr>
                <w:i/>
                <w:iCs/>
              </w:rPr>
            </w:pPr>
            <w:r>
              <w:rPr>
                <w:i/>
                <w:iCs/>
              </w:rPr>
              <w:t>Kontroll</w:t>
            </w:r>
            <w:r w:rsidRPr="00AD0F45">
              <w:rPr>
                <w:i/>
                <w:iCs/>
              </w:rPr>
              <w:t>metoder</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14:paraId="77B141F8" w14:textId="77777777" w:rsidR="00014394" w:rsidRPr="00AD0F45" w:rsidRDefault="00014394" w:rsidP="003D7F7E">
            <w:r>
              <w:t>Dokumentkontroll</w:t>
            </w:r>
          </w:p>
        </w:tc>
      </w:tr>
    </w:tbl>
    <w:p w14:paraId="1F2CFCFE" w14:textId="08BFEEEE" w:rsidR="00952D2A" w:rsidRDefault="00952D2A" w:rsidP="00952D2A">
      <w:pPr>
        <w:pStyle w:val="Brdtekst"/>
        <w:spacing w:after="0"/>
      </w:pPr>
    </w:p>
    <w:tbl>
      <w:tblPr>
        <w:tblW w:w="9346" w:type="dxa"/>
        <w:tblCellMar>
          <w:left w:w="0" w:type="dxa"/>
          <w:right w:w="0" w:type="dxa"/>
        </w:tblCellMar>
        <w:tblLook w:val="04A0" w:firstRow="1" w:lastRow="0" w:firstColumn="1" w:lastColumn="0" w:noHBand="0" w:noVBand="1"/>
      </w:tblPr>
      <w:tblGrid>
        <w:gridCol w:w="2684"/>
        <w:gridCol w:w="6662"/>
      </w:tblGrid>
      <w:tr w:rsidR="00553867" w:rsidRPr="00AD0F45" w14:paraId="49988143" w14:textId="77777777" w:rsidTr="4A01F456">
        <w:tc>
          <w:tcPr>
            <w:tcW w:w="2684" w:type="dxa"/>
            <w:tcBorders>
              <w:top w:val="single" w:sz="8" w:space="0" w:color="auto"/>
              <w:left w:val="single" w:sz="8" w:space="0" w:color="auto"/>
              <w:bottom w:val="single" w:sz="8" w:space="0" w:color="auto"/>
              <w:right w:val="single" w:sz="8" w:space="0" w:color="auto"/>
            </w:tcBorders>
            <w:shd w:val="clear" w:color="auto" w:fill="0D0D0D" w:themeFill="text1" w:themeFillTint="F2"/>
            <w:tcMar>
              <w:top w:w="0" w:type="dxa"/>
              <w:left w:w="108" w:type="dxa"/>
              <w:bottom w:w="0" w:type="dxa"/>
              <w:right w:w="108" w:type="dxa"/>
            </w:tcMar>
            <w:hideMark/>
          </w:tcPr>
          <w:p w14:paraId="1BB0CF75" w14:textId="77777777" w:rsidR="00553867" w:rsidRPr="00AD0F45" w:rsidRDefault="00553867" w:rsidP="003D7F7E">
            <w:r w:rsidRPr="00AD0F45">
              <w:t>Elsertifikater</w:t>
            </w:r>
          </w:p>
        </w:tc>
        <w:tc>
          <w:tcPr>
            <w:tcW w:w="6662" w:type="dxa"/>
            <w:tcBorders>
              <w:top w:val="single" w:sz="8" w:space="0" w:color="auto"/>
              <w:left w:val="nil"/>
              <w:bottom w:val="single" w:sz="8" w:space="0" w:color="auto"/>
              <w:right w:val="single" w:sz="8" w:space="0" w:color="auto"/>
            </w:tcBorders>
            <w:shd w:val="clear" w:color="auto" w:fill="0D0D0D" w:themeFill="text1" w:themeFillTint="F2"/>
            <w:tcMar>
              <w:top w:w="0" w:type="dxa"/>
              <w:left w:w="108" w:type="dxa"/>
              <w:bottom w:w="0" w:type="dxa"/>
              <w:right w:w="108" w:type="dxa"/>
            </w:tcMar>
            <w:hideMark/>
          </w:tcPr>
          <w:p w14:paraId="06EF9174" w14:textId="77777777" w:rsidR="00A71801" w:rsidRPr="00AD0F45" w:rsidRDefault="00A71801" w:rsidP="00A71801">
            <w:r w:rsidRPr="00AD0F45">
              <w:t>Energi</w:t>
            </w:r>
            <w:r>
              <w:t>- og konsesjons</w:t>
            </w:r>
            <w:r w:rsidRPr="00AD0F45">
              <w:t xml:space="preserve">avdelingen – </w:t>
            </w:r>
          </w:p>
          <w:p w14:paraId="2A2ADE22" w14:textId="77777777" w:rsidR="00553867" w:rsidRPr="00AD0F45" w:rsidRDefault="00553867" w:rsidP="003D7F7E">
            <w:r w:rsidRPr="00AD0F45">
              <w:t>seksjon for virkemidler og internasjonale rammer</w:t>
            </w:r>
          </w:p>
        </w:tc>
      </w:tr>
      <w:tr w:rsidR="00553867" w:rsidRPr="00AD0F45" w14:paraId="48399E96" w14:textId="77777777" w:rsidTr="4A01F456">
        <w:trPr>
          <w:trHeight w:val="375"/>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3C90B" w14:textId="77777777" w:rsidR="00553867" w:rsidRPr="00AD0F45" w:rsidRDefault="00553867" w:rsidP="003D7F7E">
            <w:pPr>
              <w:rPr>
                <w:i/>
                <w:iCs/>
              </w:rPr>
            </w:pPr>
            <w:r w:rsidRPr="00AD0F45">
              <w:rPr>
                <w:i/>
                <w:iCs/>
              </w:rPr>
              <w:t>Tema</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14:paraId="2216B239" w14:textId="79643940" w:rsidR="00553867" w:rsidRPr="00AD0F45" w:rsidRDefault="00553867" w:rsidP="009530F2">
            <w:pPr>
              <w:pStyle w:val="Brdtekst"/>
            </w:pPr>
            <w:r>
              <w:t>Oppfølging av §19 og 27 i elsertifikatforskriften – om innrapportering av beregningsrelevant forbruk og annullering</w:t>
            </w:r>
          </w:p>
          <w:p w14:paraId="7864A5CD" w14:textId="6C63E4AA" w:rsidR="00553867" w:rsidRPr="00AD0F45" w:rsidRDefault="50FA341C" w:rsidP="009530F2">
            <w:pPr>
              <w:pStyle w:val="Brdtekst"/>
              <w:rPr>
                <w:rFonts w:eastAsia="Times"/>
              </w:rPr>
            </w:pPr>
            <w:r w:rsidRPr="4A01F456">
              <w:rPr>
                <w:rFonts w:eastAsia="Times"/>
              </w:rPr>
              <w:t xml:space="preserve">Kraftleverandører, nettselskap og enkelte forbrukere skal kjøpe inn elsertifikater for å dekke sin elsertifikatplikt. Alle </w:t>
            </w:r>
            <w:r w:rsidR="655EC6DD" w:rsidRPr="4A01F456">
              <w:rPr>
                <w:rFonts w:eastAsia="Times"/>
              </w:rPr>
              <w:t xml:space="preserve">skal </w:t>
            </w:r>
            <w:r w:rsidRPr="4A01F456">
              <w:rPr>
                <w:rFonts w:eastAsia="Times"/>
              </w:rPr>
              <w:t xml:space="preserve">kontrollere det aggregerte beregningsrelevante volumet som er rapportert til NECS. Fristen for den endelige godkjenningen av beregningsrelevant volum for det foregående kalenderåret er 1. mars hvert år. </w:t>
            </w:r>
            <w:r w:rsidR="148E82C4" w:rsidRPr="4A01F456">
              <w:rPr>
                <w:rFonts w:eastAsia="Times"/>
              </w:rPr>
              <w:t xml:space="preserve">Deretter annulleres </w:t>
            </w:r>
            <w:r w:rsidR="71CD9D69" w:rsidRPr="4A01F456">
              <w:rPr>
                <w:rFonts w:eastAsia="Times"/>
              </w:rPr>
              <w:t xml:space="preserve">sertifikatene tilsvarende plikten. NVE </w:t>
            </w:r>
            <w:r w:rsidR="6F6C92E2" w:rsidRPr="4A01F456">
              <w:rPr>
                <w:rFonts w:eastAsia="Times"/>
              </w:rPr>
              <w:t>fører kontroll om de elsertifikatpliktige sletter tilstrekkelig med elsertifikater</w:t>
            </w:r>
            <w:r w:rsidR="26DFBD92" w:rsidRPr="4A01F456">
              <w:rPr>
                <w:rFonts w:eastAsia="Times"/>
              </w:rPr>
              <w:t>.</w:t>
            </w:r>
            <w:r w:rsidR="6F6C92E2" w:rsidRPr="4A01F456">
              <w:rPr>
                <w:rFonts w:eastAsia="Times"/>
              </w:rPr>
              <w:t xml:space="preserve"> </w:t>
            </w:r>
          </w:p>
        </w:tc>
      </w:tr>
      <w:tr w:rsidR="00553867" w:rsidRPr="00AD0F45" w14:paraId="479BBFDC" w14:textId="77777777" w:rsidTr="4A01F456">
        <w:trPr>
          <w:trHeight w:val="409"/>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5B6BC" w14:textId="5FE7680A" w:rsidR="00553867" w:rsidRPr="00AD0F45" w:rsidRDefault="005D1925" w:rsidP="003D7F7E">
            <w:pPr>
              <w:rPr>
                <w:i/>
                <w:iCs/>
              </w:rPr>
            </w:pPr>
            <w:r>
              <w:rPr>
                <w:i/>
              </w:rPr>
              <w:t>Tilsynso</w:t>
            </w:r>
            <w:r w:rsidRPr="00145FCF">
              <w:rPr>
                <w:i/>
              </w:rPr>
              <w:t>bjekter</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14:paraId="55C026C2" w14:textId="09D41098" w:rsidR="00553867" w:rsidRPr="00AD0F45" w:rsidRDefault="00553867" w:rsidP="003D7F7E">
            <w:r>
              <w:t xml:space="preserve">Kraftleverandører, nettselskap og </w:t>
            </w:r>
            <w:r w:rsidR="438AE50F">
              <w:t>enkelte forbrukere</w:t>
            </w:r>
          </w:p>
        </w:tc>
      </w:tr>
      <w:tr w:rsidR="00553867" w:rsidRPr="00AD0F45" w14:paraId="36995630" w14:textId="77777777" w:rsidTr="4A01F456">
        <w:trPr>
          <w:trHeight w:val="402"/>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C3D87" w14:textId="77777777" w:rsidR="00553867" w:rsidRPr="00AD0F45" w:rsidRDefault="00553867" w:rsidP="003D7F7E">
            <w:pPr>
              <w:rPr>
                <w:i/>
                <w:iCs/>
              </w:rPr>
            </w:pPr>
            <w:r>
              <w:rPr>
                <w:i/>
                <w:iCs/>
              </w:rPr>
              <w:t>Kontroll</w:t>
            </w:r>
            <w:r w:rsidRPr="00AD0F45">
              <w:rPr>
                <w:i/>
                <w:iCs/>
              </w:rPr>
              <w:t>metoder</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14:paraId="7F713F61" w14:textId="77777777" w:rsidR="00553867" w:rsidRPr="00AD0F45" w:rsidRDefault="00553867" w:rsidP="003D7F7E">
            <w:r>
              <w:t>Dokumentkontroll</w:t>
            </w:r>
          </w:p>
        </w:tc>
      </w:tr>
    </w:tbl>
    <w:p w14:paraId="463DD25D" w14:textId="7C41C7A3" w:rsidR="00014394" w:rsidRDefault="00014394" w:rsidP="00952D2A">
      <w:pPr>
        <w:pStyle w:val="Brdtekst"/>
        <w:spacing w:after="0"/>
      </w:pPr>
    </w:p>
    <w:tbl>
      <w:tblPr>
        <w:tblW w:w="9346" w:type="dxa"/>
        <w:tblCellMar>
          <w:left w:w="0" w:type="dxa"/>
          <w:right w:w="0" w:type="dxa"/>
        </w:tblCellMar>
        <w:tblLook w:val="04A0" w:firstRow="1" w:lastRow="0" w:firstColumn="1" w:lastColumn="0" w:noHBand="0" w:noVBand="1"/>
      </w:tblPr>
      <w:tblGrid>
        <w:gridCol w:w="2684"/>
        <w:gridCol w:w="6662"/>
      </w:tblGrid>
      <w:tr w:rsidR="00EB4B28" w:rsidRPr="00AD0F45" w14:paraId="74A73891" w14:textId="77777777" w:rsidTr="4A01F456">
        <w:tc>
          <w:tcPr>
            <w:tcW w:w="2684" w:type="dxa"/>
            <w:tcBorders>
              <w:top w:val="single" w:sz="8" w:space="0" w:color="auto"/>
              <w:left w:val="single" w:sz="8" w:space="0" w:color="auto"/>
              <w:bottom w:val="single" w:sz="8" w:space="0" w:color="auto"/>
              <w:right w:val="single" w:sz="8" w:space="0" w:color="auto"/>
            </w:tcBorders>
            <w:shd w:val="clear" w:color="auto" w:fill="0D0D0D" w:themeFill="text1" w:themeFillTint="F2"/>
            <w:tcMar>
              <w:top w:w="0" w:type="dxa"/>
              <w:left w:w="108" w:type="dxa"/>
              <w:bottom w:w="0" w:type="dxa"/>
              <w:right w:w="108" w:type="dxa"/>
            </w:tcMar>
            <w:hideMark/>
          </w:tcPr>
          <w:p w14:paraId="6CA91570" w14:textId="77777777" w:rsidR="00EB4B28" w:rsidRPr="00AD0F45" w:rsidRDefault="00EB4B28" w:rsidP="003D7F7E">
            <w:r>
              <w:t>Opprinnelsesgarantier</w:t>
            </w:r>
          </w:p>
        </w:tc>
        <w:tc>
          <w:tcPr>
            <w:tcW w:w="6662" w:type="dxa"/>
            <w:tcBorders>
              <w:top w:val="single" w:sz="8" w:space="0" w:color="auto"/>
              <w:left w:val="nil"/>
              <w:bottom w:val="single" w:sz="8" w:space="0" w:color="auto"/>
              <w:right w:val="single" w:sz="8" w:space="0" w:color="auto"/>
            </w:tcBorders>
            <w:shd w:val="clear" w:color="auto" w:fill="0D0D0D" w:themeFill="text1" w:themeFillTint="F2"/>
            <w:tcMar>
              <w:top w:w="0" w:type="dxa"/>
              <w:left w:w="108" w:type="dxa"/>
              <w:bottom w:w="0" w:type="dxa"/>
              <w:right w:w="108" w:type="dxa"/>
            </w:tcMar>
            <w:hideMark/>
          </w:tcPr>
          <w:p w14:paraId="2B0B2EF9" w14:textId="77777777" w:rsidR="00A71801" w:rsidRPr="00AD0F45" w:rsidRDefault="00A71801" w:rsidP="00A71801">
            <w:r w:rsidRPr="00AD0F45">
              <w:t>Energi</w:t>
            </w:r>
            <w:r>
              <w:t>- og konsesjons</w:t>
            </w:r>
            <w:r w:rsidRPr="00AD0F45">
              <w:t xml:space="preserve">avdelingen – </w:t>
            </w:r>
          </w:p>
          <w:p w14:paraId="2FBCAF8B" w14:textId="77777777" w:rsidR="00EB4B28" w:rsidRPr="00AD0F45" w:rsidRDefault="00EB4B28" w:rsidP="003D7F7E">
            <w:r w:rsidRPr="00AD0F45">
              <w:t>seksjon for virkemidler og internasjonale rammer</w:t>
            </w:r>
          </w:p>
        </w:tc>
      </w:tr>
      <w:tr w:rsidR="00EB4B28" w:rsidRPr="00AD0F45" w14:paraId="2880EA6E" w14:textId="77777777" w:rsidTr="4A01F456">
        <w:trPr>
          <w:trHeight w:val="375"/>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2010B" w14:textId="77777777" w:rsidR="00EB4B28" w:rsidRPr="00AD0F45" w:rsidRDefault="00EB4B28" w:rsidP="003D7F7E">
            <w:pPr>
              <w:rPr>
                <w:i/>
                <w:iCs/>
              </w:rPr>
            </w:pPr>
            <w:r w:rsidRPr="00AD0F45">
              <w:rPr>
                <w:i/>
                <w:iCs/>
              </w:rPr>
              <w:t>Tema</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14:paraId="7424B684" w14:textId="5C1681C5" w:rsidR="00EB4B28" w:rsidRPr="00AD0F45" w:rsidRDefault="14D1393D" w:rsidP="009530F2">
            <w:pPr>
              <w:pStyle w:val="Brdtekst"/>
            </w:pPr>
            <w:r>
              <w:t>Oppfølging av §5 i opprinnelsesgarantiforskriften – innhold i opprinnelsesgarantier</w:t>
            </w:r>
          </w:p>
          <w:p w14:paraId="6F5EF243" w14:textId="6B0A8692" w:rsidR="00EB4B28" w:rsidRPr="00AD0F45" w:rsidRDefault="41C59028" w:rsidP="009530F2">
            <w:pPr>
              <w:pStyle w:val="Brdtekst"/>
            </w:pPr>
            <w:r>
              <w:t xml:space="preserve">NVE skal godkjenne anlegg som er i drift eller er klare for </w:t>
            </w:r>
            <w:proofErr w:type="spellStart"/>
            <w:r>
              <w:t>idriftssettelse</w:t>
            </w:r>
            <w:proofErr w:type="spellEnd"/>
            <w:r>
              <w:t xml:space="preserve"> etter søknad. Ordningen er basert på elektronisk søknadsbehandling. I de </w:t>
            </w:r>
            <w:r>
              <w:lastRenderedPageBreak/>
              <w:t xml:space="preserve">fleste tilfeller vil NVE allerede ha informasjon om anleggene. Denne informasjonen vil </w:t>
            </w:r>
            <w:proofErr w:type="gramStart"/>
            <w:r>
              <w:t>fremkomme</w:t>
            </w:r>
            <w:proofErr w:type="gramEnd"/>
            <w:r>
              <w:t xml:space="preserve"> i et forhåndsutfylt søknadsskjema når søkeren logger seg inn i NVEs system for opprinnelsesgarantier. Dersom NVE trenger mer informasjon om anleggene, måleutstyret eller brensel, vil innehaver av anlegget selv være ansvarlig for å gi nødvendig informasjon. NVE har ansvaret for å kvalitetssikre informasjonen, og følger eventuelt opp der opplysninger </w:t>
            </w:r>
            <w:r w:rsidR="3C9B2460">
              <w:t xml:space="preserve">gitt av </w:t>
            </w:r>
            <w:proofErr w:type="spellStart"/>
            <w:r w:rsidR="3C9B2460">
              <w:t>søker</w:t>
            </w:r>
            <w:proofErr w:type="spellEnd"/>
            <w:r w:rsidR="3C9B2460">
              <w:t xml:space="preserve"> ikke stemmer overens med opplysninger i NVEs databaser.</w:t>
            </w:r>
          </w:p>
        </w:tc>
      </w:tr>
      <w:tr w:rsidR="00EB4B28" w:rsidRPr="00AD0F45" w14:paraId="35114F18" w14:textId="77777777" w:rsidTr="4A01F456">
        <w:trPr>
          <w:trHeight w:val="409"/>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E3BA0" w14:textId="46602891" w:rsidR="00EB4B28" w:rsidRPr="00AD0F45" w:rsidRDefault="005D1925" w:rsidP="003D7F7E">
            <w:pPr>
              <w:rPr>
                <w:i/>
                <w:iCs/>
              </w:rPr>
            </w:pPr>
            <w:r>
              <w:rPr>
                <w:i/>
              </w:rPr>
              <w:lastRenderedPageBreak/>
              <w:t>Tilsynso</w:t>
            </w:r>
            <w:r w:rsidRPr="00145FCF">
              <w:rPr>
                <w:i/>
              </w:rPr>
              <w:t>bjekter</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14:paraId="5B3255C5" w14:textId="77777777" w:rsidR="00EB4B28" w:rsidRPr="00AD0F45" w:rsidRDefault="00EB4B28" w:rsidP="003D7F7E">
            <w:r>
              <w:t>Kraftproduksjonsanlegg</w:t>
            </w:r>
          </w:p>
        </w:tc>
      </w:tr>
      <w:tr w:rsidR="00EB4B28" w:rsidRPr="00AD0F45" w14:paraId="55FA2573" w14:textId="77777777" w:rsidTr="4A01F456">
        <w:trPr>
          <w:trHeight w:val="402"/>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40E1A" w14:textId="77777777" w:rsidR="00EB4B28" w:rsidRPr="00AD0F45" w:rsidRDefault="00EB4B28" w:rsidP="003D7F7E">
            <w:pPr>
              <w:rPr>
                <w:i/>
                <w:iCs/>
              </w:rPr>
            </w:pPr>
            <w:r>
              <w:rPr>
                <w:i/>
                <w:iCs/>
              </w:rPr>
              <w:t>Kontroll</w:t>
            </w:r>
            <w:r w:rsidRPr="00AD0F45">
              <w:rPr>
                <w:i/>
                <w:iCs/>
              </w:rPr>
              <w:t>metoder</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14:paraId="406DF91A" w14:textId="77777777" w:rsidR="00EB4B28" w:rsidRPr="00AD0F45" w:rsidRDefault="00EB4B28" w:rsidP="003D7F7E">
            <w:r>
              <w:t>Dokumentkontroll</w:t>
            </w:r>
          </w:p>
        </w:tc>
      </w:tr>
    </w:tbl>
    <w:p w14:paraId="0294AF21" w14:textId="77777777" w:rsidR="00EB4B28" w:rsidRDefault="00EB4B28" w:rsidP="00952D2A">
      <w:pPr>
        <w:pStyle w:val="Brdtekst"/>
        <w:spacing w:after="0"/>
      </w:pPr>
    </w:p>
    <w:tbl>
      <w:tblPr>
        <w:tblStyle w:val="Tabellrutenett1"/>
        <w:tblW w:w="9351" w:type="dxa"/>
        <w:tblLook w:val="04A0" w:firstRow="1" w:lastRow="0" w:firstColumn="1" w:lastColumn="0" w:noHBand="0" w:noVBand="1"/>
      </w:tblPr>
      <w:tblGrid>
        <w:gridCol w:w="2689"/>
        <w:gridCol w:w="6662"/>
      </w:tblGrid>
      <w:tr w:rsidR="003126C8" w:rsidRPr="00145FCF" w14:paraId="1A3EB74B" w14:textId="77777777" w:rsidTr="003D7F7E">
        <w:tc>
          <w:tcPr>
            <w:tcW w:w="2689" w:type="dxa"/>
            <w:shd w:val="clear" w:color="auto" w:fill="0D0D0D" w:themeFill="text1" w:themeFillTint="F2"/>
          </w:tcPr>
          <w:p w14:paraId="40FCF0DC" w14:textId="77777777" w:rsidR="003126C8" w:rsidRPr="00145FCF" w:rsidRDefault="003126C8" w:rsidP="003D7F7E">
            <w:pPr>
              <w:rPr>
                <w:color w:val="FFFFFF" w:themeColor="background1"/>
                <w:sz w:val="22"/>
                <w:szCs w:val="22"/>
              </w:rPr>
            </w:pPr>
            <w:r w:rsidRPr="009B070A">
              <w:rPr>
                <w:sz w:val="22"/>
                <w:szCs w:val="22"/>
              </w:rPr>
              <w:t>Tilsyn etter sikkerhetsloven</w:t>
            </w:r>
          </w:p>
        </w:tc>
        <w:tc>
          <w:tcPr>
            <w:tcW w:w="6662" w:type="dxa"/>
            <w:shd w:val="clear" w:color="auto" w:fill="0D0D0D" w:themeFill="text1" w:themeFillTint="F2"/>
          </w:tcPr>
          <w:p w14:paraId="0AA3E4FA" w14:textId="77777777" w:rsidR="003E2F5D" w:rsidRDefault="003126C8" w:rsidP="009B070A">
            <w:pPr>
              <w:spacing w:line="280" w:lineRule="atLeast"/>
              <w:rPr>
                <w:sz w:val="22"/>
                <w:szCs w:val="22"/>
              </w:rPr>
            </w:pPr>
            <w:r w:rsidRPr="009B070A">
              <w:rPr>
                <w:sz w:val="22"/>
                <w:szCs w:val="22"/>
              </w:rPr>
              <w:t xml:space="preserve">Tilsyns- og beredskapsavdelingen – </w:t>
            </w:r>
          </w:p>
          <w:p w14:paraId="42B0F89F" w14:textId="2EAF001B" w:rsidR="003126C8" w:rsidRPr="009B070A" w:rsidRDefault="003126C8" w:rsidP="009B070A">
            <w:pPr>
              <w:spacing w:line="280" w:lineRule="atLeast"/>
              <w:rPr>
                <w:sz w:val="22"/>
                <w:szCs w:val="22"/>
              </w:rPr>
            </w:pPr>
            <w:r w:rsidRPr="009B070A">
              <w:rPr>
                <w:sz w:val="22"/>
                <w:szCs w:val="22"/>
              </w:rPr>
              <w:t>seksjon for beredskap</w:t>
            </w:r>
          </w:p>
        </w:tc>
      </w:tr>
      <w:tr w:rsidR="003126C8" w:rsidRPr="00145FCF" w14:paraId="03C59109" w14:textId="77777777" w:rsidTr="003D7F7E">
        <w:tc>
          <w:tcPr>
            <w:tcW w:w="2689" w:type="dxa"/>
          </w:tcPr>
          <w:p w14:paraId="730A6F51" w14:textId="77777777" w:rsidR="003126C8" w:rsidRPr="00145FCF" w:rsidRDefault="003126C8" w:rsidP="003D7F7E">
            <w:pPr>
              <w:rPr>
                <w:i/>
                <w:sz w:val="22"/>
                <w:szCs w:val="22"/>
              </w:rPr>
            </w:pPr>
            <w:r w:rsidRPr="00145FCF">
              <w:rPr>
                <w:i/>
                <w:sz w:val="22"/>
                <w:szCs w:val="22"/>
              </w:rPr>
              <w:t>Tema</w:t>
            </w:r>
          </w:p>
        </w:tc>
        <w:tc>
          <w:tcPr>
            <w:tcW w:w="6662" w:type="dxa"/>
          </w:tcPr>
          <w:p w14:paraId="725D63AB" w14:textId="34ADA235" w:rsidR="003126C8" w:rsidRPr="00145FCF" w:rsidRDefault="003126C8" w:rsidP="003D7F7E">
            <w:pPr>
              <w:spacing w:after="160"/>
              <w:rPr>
                <w:sz w:val="22"/>
                <w:szCs w:val="22"/>
              </w:rPr>
            </w:pPr>
            <w:r>
              <w:rPr>
                <w:sz w:val="22"/>
                <w:szCs w:val="22"/>
              </w:rPr>
              <w:t xml:space="preserve">Nasjonale sikkerhetsinteresser har fått økt oppmerksomhet og sikkerhetsloven er revidert fra 1.1.2019. NVE er tilsynsmyndighet i kraftforsyningen. Også virksomhet i kraftforsyningen er underlagt sikkerhetsloven. </w:t>
            </w:r>
            <w:r w:rsidRPr="7D5CEA04">
              <w:rPr>
                <w:sz w:val="22"/>
                <w:szCs w:val="22"/>
              </w:rPr>
              <w:t>Sikkerhet</w:t>
            </w:r>
            <w:r w:rsidR="21920529" w:rsidRPr="7D5CEA04">
              <w:rPr>
                <w:sz w:val="22"/>
                <w:szCs w:val="22"/>
              </w:rPr>
              <w:t>s</w:t>
            </w:r>
            <w:r w:rsidRPr="7D5CEA04">
              <w:rPr>
                <w:sz w:val="22"/>
                <w:szCs w:val="22"/>
              </w:rPr>
              <w:t>loven</w:t>
            </w:r>
            <w:r>
              <w:rPr>
                <w:sz w:val="22"/>
                <w:szCs w:val="22"/>
              </w:rPr>
              <w:t xml:space="preserve"> har funksjonskrav og NVE vil prioritere å utvikle kriterier for tilsynet med utgangspunkt i </w:t>
            </w:r>
            <w:r w:rsidRPr="7D5CEA04">
              <w:rPr>
                <w:sz w:val="22"/>
                <w:szCs w:val="22"/>
              </w:rPr>
              <w:t>k</w:t>
            </w:r>
            <w:r w:rsidR="2DFE66C4" w:rsidRPr="7D5CEA04">
              <w:rPr>
                <w:sz w:val="22"/>
                <w:szCs w:val="22"/>
              </w:rPr>
              <w:t>raftberedskapsforskriften.</w:t>
            </w:r>
          </w:p>
        </w:tc>
      </w:tr>
      <w:tr w:rsidR="003126C8" w:rsidRPr="00145FCF" w14:paraId="3DE72114" w14:textId="77777777" w:rsidTr="003D7F7E">
        <w:tc>
          <w:tcPr>
            <w:tcW w:w="2689" w:type="dxa"/>
          </w:tcPr>
          <w:p w14:paraId="4D59A7C3" w14:textId="3102F65E" w:rsidR="003126C8" w:rsidRPr="00145FCF" w:rsidRDefault="005D1925" w:rsidP="003D7F7E">
            <w:pPr>
              <w:rPr>
                <w:i/>
                <w:sz w:val="22"/>
                <w:szCs w:val="22"/>
              </w:rPr>
            </w:pPr>
            <w:r>
              <w:rPr>
                <w:i/>
                <w:sz w:val="22"/>
                <w:szCs w:val="22"/>
              </w:rPr>
              <w:t>Tilsynso</w:t>
            </w:r>
            <w:r w:rsidRPr="00145FCF">
              <w:rPr>
                <w:i/>
                <w:sz w:val="22"/>
                <w:szCs w:val="22"/>
              </w:rPr>
              <w:t>bjekter</w:t>
            </w:r>
          </w:p>
        </w:tc>
        <w:tc>
          <w:tcPr>
            <w:tcW w:w="6662" w:type="dxa"/>
          </w:tcPr>
          <w:p w14:paraId="0385C51A" w14:textId="77777777" w:rsidR="003126C8" w:rsidRPr="00DA5F30" w:rsidRDefault="003126C8" w:rsidP="003D7F7E">
            <w:pPr>
              <w:spacing w:after="160"/>
              <w:rPr>
                <w:rFonts w:cs="Times New Roman"/>
                <w:sz w:val="22"/>
                <w:szCs w:val="22"/>
              </w:rPr>
            </w:pPr>
            <w:r>
              <w:rPr>
                <w:rFonts w:cs="Times New Roman"/>
                <w:sz w:val="22"/>
                <w:szCs w:val="22"/>
              </w:rPr>
              <w:t>Det er bare én virksomhet som er underlagt loven.</w:t>
            </w:r>
          </w:p>
        </w:tc>
      </w:tr>
      <w:tr w:rsidR="003126C8" w:rsidRPr="00145FCF" w14:paraId="3CC87549" w14:textId="77777777" w:rsidTr="003D7F7E">
        <w:tc>
          <w:tcPr>
            <w:tcW w:w="2689" w:type="dxa"/>
          </w:tcPr>
          <w:p w14:paraId="66ECE3AA" w14:textId="77777777" w:rsidR="003126C8" w:rsidRPr="00145FCF" w:rsidRDefault="003126C8" w:rsidP="003D7F7E">
            <w:pPr>
              <w:rPr>
                <w:i/>
                <w:sz w:val="22"/>
                <w:szCs w:val="22"/>
              </w:rPr>
            </w:pPr>
            <w:r w:rsidRPr="00145FCF">
              <w:rPr>
                <w:i/>
                <w:sz w:val="22"/>
                <w:szCs w:val="22"/>
              </w:rPr>
              <w:t>Kontrollmetoder</w:t>
            </w:r>
          </w:p>
        </w:tc>
        <w:tc>
          <w:tcPr>
            <w:tcW w:w="6662" w:type="dxa"/>
          </w:tcPr>
          <w:p w14:paraId="28E6E413" w14:textId="77777777" w:rsidR="003126C8" w:rsidRPr="00DA5F30" w:rsidRDefault="003126C8" w:rsidP="003D7F7E">
            <w:pPr>
              <w:spacing w:after="160"/>
              <w:rPr>
                <w:sz w:val="22"/>
                <w:szCs w:val="22"/>
              </w:rPr>
            </w:pPr>
            <w:r>
              <w:rPr>
                <w:sz w:val="22"/>
                <w:szCs w:val="22"/>
              </w:rPr>
              <w:t>Revisjon, dokumentkontroll</w:t>
            </w:r>
          </w:p>
        </w:tc>
      </w:tr>
    </w:tbl>
    <w:p w14:paraId="413122A6" w14:textId="77777777" w:rsidR="00FE3BCC" w:rsidRDefault="00FE3BCC"/>
    <w:tbl>
      <w:tblPr>
        <w:tblStyle w:val="Tabellrutenett4"/>
        <w:tblW w:w="9351" w:type="dxa"/>
        <w:tblLook w:val="04A0" w:firstRow="1" w:lastRow="0" w:firstColumn="1" w:lastColumn="0" w:noHBand="0" w:noVBand="1"/>
      </w:tblPr>
      <w:tblGrid>
        <w:gridCol w:w="2689"/>
        <w:gridCol w:w="6662"/>
      </w:tblGrid>
      <w:tr w:rsidR="00F40408" w:rsidRPr="00145FCF" w14:paraId="34A45A58" w14:textId="77777777" w:rsidTr="003D7F7E">
        <w:tc>
          <w:tcPr>
            <w:tcW w:w="2689" w:type="dxa"/>
            <w:shd w:val="clear" w:color="auto" w:fill="0D0D0D" w:themeFill="text1" w:themeFillTint="F2"/>
          </w:tcPr>
          <w:p w14:paraId="261182C4" w14:textId="77777777" w:rsidR="00F40408" w:rsidRPr="00145FCF" w:rsidRDefault="00F40408" w:rsidP="003D7F7E">
            <w:pPr>
              <w:rPr>
                <w:color w:val="FFFFFF" w:themeColor="background1"/>
                <w:sz w:val="22"/>
                <w:szCs w:val="22"/>
              </w:rPr>
            </w:pPr>
            <w:r>
              <w:rPr>
                <w:color w:val="FFFFFF" w:themeColor="background1"/>
                <w:sz w:val="22"/>
                <w:szCs w:val="22"/>
              </w:rPr>
              <w:t>Drift, modernisering og vedlikehold</w:t>
            </w:r>
          </w:p>
        </w:tc>
        <w:tc>
          <w:tcPr>
            <w:tcW w:w="6662" w:type="dxa"/>
            <w:shd w:val="clear" w:color="auto" w:fill="0D0D0D" w:themeFill="text1" w:themeFillTint="F2"/>
          </w:tcPr>
          <w:p w14:paraId="08D25DEB" w14:textId="77777777" w:rsidR="00F40408" w:rsidRPr="00145FCF" w:rsidRDefault="00F40408" w:rsidP="003D7F7E">
            <w:pPr>
              <w:pStyle w:val="Brdtekst"/>
              <w:spacing w:after="0"/>
              <w:rPr>
                <w:color w:val="FFFFFF" w:themeColor="background1"/>
                <w:sz w:val="22"/>
                <w:szCs w:val="22"/>
              </w:rPr>
            </w:pPr>
            <w:r w:rsidRPr="00145FCF">
              <w:rPr>
                <w:color w:val="FFFFFF" w:themeColor="background1"/>
                <w:sz w:val="22"/>
                <w:szCs w:val="22"/>
              </w:rPr>
              <w:t>Tilsyns- og beredskapsavdelingen – seksjon for beredskap</w:t>
            </w:r>
          </w:p>
          <w:p w14:paraId="0969A324" w14:textId="77777777" w:rsidR="00F40408" w:rsidRPr="00145FCF" w:rsidRDefault="00F40408" w:rsidP="003D7F7E">
            <w:pPr>
              <w:rPr>
                <w:color w:val="FFFFFF" w:themeColor="background1"/>
                <w:sz w:val="22"/>
                <w:szCs w:val="22"/>
              </w:rPr>
            </w:pPr>
          </w:p>
        </w:tc>
      </w:tr>
      <w:tr w:rsidR="00F40408" w:rsidRPr="00145FCF" w14:paraId="1DEF85FF" w14:textId="77777777" w:rsidTr="003D7F7E">
        <w:tc>
          <w:tcPr>
            <w:tcW w:w="2689" w:type="dxa"/>
          </w:tcPr>
          <w:p w14:paraId="202AB9A3" w14:textId="77777777" w:rsidR="00F40408" w:rsidRPr="00145FCF" w:rsidRDefault="00F40408" w:rsidP="003D7F7E">
            <w:pPr>
              <w:rPr>
                <w:i/>
                <w:sz w:val="22"/>
                <w:szCs w:val="22"/>
                <w:highlight w:val="yellow"/>
              </w:rPr>
            </w:pPr>
            <w:r w:rsidRPr="00145FCF">
              <w:rPr>
                <w:i/>
                <w:sz w:val="22"/>
                <w:szCs w:val="22"/>
              </w:rPr>
              <w:t>Tema</w:t>
            </w:r>
          </w:p>
        </w:tc>
        <w:tc>
          <w:tcPr>
            <w:tcW w:w="6662" w:type="dxa"/>
          </w:tcPr>
          <w:p w14:paraId="222069A0" w14:textId="72C530A3" w:rsidR="00F40408" w:rsidRPr="00A5076D" w:rsidRDefault="00F40408" w:rsidP="009530F2">
            <w:pPr>
              <w:pStyle w:val="Brdtekst"/>
              <w:rPr>
                <w:rFonts w:eastAsia="Times"/>
                <w:sz w:val="22"/>
                <w:szCs w:val="22"/>
              </w:rPr>
            </w:pPr>
            <w:r w:rsidRPr="00A5076D">
              <w:rPr>
                <w:rFonts w:eastAsia="Times"/>
                <w:sz w:val="22"/>
                <w:szCs w:val="22"/>
              </w:rPr>
              <w:t xml:space="preserve">Tilsynet gjennomføres med virksomheter basert på sårbarhet. Det </w:t>
            </w:r>
            <w:proofErr w:type="gramStart"/>
            <w:r w:rsidRPr="00A5076D">
              <w:rPr>
                <w:rFonts w:eastAsia="Times"/>
                <w:sz w:val="22"/>
                <w:szCs w:val="22"/>
              </w:rPr>
              <w:t>fokuseres</w:t>
            </w:r>
            <w:proofErr w:type="gramEnd"/>
            <w:r w:rsidRPr="00A5076D">
              <w:rPr>
                <w:rFonts w:eastAsia="Times"/>
                <w:sz w:val="22"/>
                <w:szCs w:val="22"/>
              </w:rPr>
              <w:t xml:space="preserve"> på vedlikeholdsrutiner og systemer for å sikre at anleggene er i god stand i henhold til konsesjonsvilkårene. Resultater fra feil- og avbruddsrapportering (FASIT) viser hvordan virksomheten håndterer forskriftskravene og beskyttelse av </w:t>
            </w:r>
            <w:r w:rsidR="497294CC" w:rsidRPr="7D5CEA04">
              <w:rPr>
                <w:rFonts w:eastAsia="Times"/>
                <w:sz w:val="22"/>
                <w:szCs w:val="22"/>
              </w:rPr>
              <w:t>hovedkomponenter</w:t>
            </w:r>
            <w:r w:rsidRPr="00A5076D">
              <w:rPr>
                <w:rFonts w:eastAsia="Times"/>
                <w:sz w:val="22"/>
                <w:szCs w:val="22"/>
              </w:rPr>
              <w:t xml:space="preserve">, blant annet </w:t>
            </w:r>
            <w:proofErr w:type="spellStart"/>
            <w:r w:rsidRPr="00A5076D">
              <w:rPr>
                <w:rFonts w:eastAsia="Times"/>
                <w:sz w:val="22"/>
                <w:szCs w:val="22"/>
              </w:rPr>
              <w:t>tresikring</w:t>
            </w:r>
            <w:proofErr w:type="spellEnd"/>
            <w:r w:rsidRPr="00A5076D">
              <w:rPr>
                <w:rFonts w:eastAsia="Times"/>
                <w:sz w:val="22"/>
                <w:szCs w:val="22"/>
              </w:rPr>
              <w:t xml:space="preserve"> og </w:t>
            </w:r>
            <w:proofErr w:type="spellStart"/>
            <w:r w:rsidRPr="00A5076D">
              <w:rPr>
                <w:rFonts w:eastAsia="Times"/>
                <w:sz w:val="22"/>
                <w:szCs w:val="22"/>
              </w:rPr>
              <w:t>lynoverspenninger</w:t>
            </w:r>
            <w:proofErr w:type="spellEnd"/>
            <w:r w:rsidRPr="00A5076D">
              <w:rPr>
                <w:rFonts w:eastAsia="Times"/>
                <w:sz w:val="22"/>
                <w:szCs w:val="22"/>
              </w:rPr>
              <w:t xml:space="preserve">. </w:t>
            </w:r>
          </w:p>
          <w:p w14:paraId="5080D692" w14:textId="77777777" w:rsidR="00F40408" w:rsidRPr="00A5076D" w:rsidRDefault="00F40408" w:rsidP="009530F2">
            <w:pPr>
              <w:pStyle w:val="Brdtekst"/>
              <w:rPr>
                <w:rFonts w:eastAsia="Times"/>
                <w:sz w:val="22"/>
                <w:szCs w:val="22"/>
              </w:rPr>
            </w:pPr>
            <w:r w:rsidRPr="00A5076D">
              <w:rPr>
                <w:rFonts w:eastAsia="Times"/>
                <w:sz w:val="22"/>
                <w:szCs w:val="22"/>
              </w:rPr>
              <w:t>Det vurderes at risikoen for forskriftsbrudd er stor, men at konsekvensene er begrenset. Tilsynet kan inkludere alle typer konsesjonærer (nett og produksjon inkludert både vann- og vindkraft).</w:t>
            </w:r>
          </w:p>
          <w:p w14:paraId="79B488C2" w14:textId="77777777" w:rsidR="00F40408" w:rsidRPr="0054477F" w:rsidRDefault="00F40408" w:rsidP="009530F2">
            <w:pPr>
              <w:pStyle w:val="Brdtekst"/>
              <w:rPr>
                <w:rFonts w:cs="Times New Roman"/>
              </w:rPr>
            </w:pPr>
            <w:r w:rsidRPr="00A5076D">
              <w:rPr>
                <w:rFonts w:eastAsia="Times"/>
                <w:sz w:val="22"/>
                <w:szCs w:val="22"/>
              </w:rPr>
              <w:t xml:space="preserve">Innenfor dette temaet gjøres det samtidige tilsyn sammen med DSB, innenfor temaet «Impulsjording og beskyttelse mot </w:t>
            </w:r>
            <w:proofErr w:type="spellStart"/>
            <w:r w:rsidRPr="00A5076D">
              <w:rPr>
                <w:rFonts w:eastAsia="Times"/>
                <w:sz w:val="22"/>
                <w:szCs w:val="22"/>
              </w:rPr>
              <w:t>lynoverspenninger</w:t>
            </w:r>
            <w:proofErr w:type="spellEnd"/>
            <w:r w:rsidRPr="00A5076D">
              <w:rPr>
                <w:rFonts w:eastAsia="Times"/>
                <w:sz w:val="22"/>
                <w:szCs w:val="22"/>
              </w:rPr>
              <w:t>». Temaet er utviklet og prøvd gjennom flere år og dekker begge etaters behov. Utvelgelse følger DSBs regioninndeling.</w:t>
            </w:r>
          </w:p>
        </w:tc>
      </w:tr>
      <w:tr w:rsidR="00F40408" w:rsidRPr="00145FCF" w14:paraId="17ACB367" w14:textId="77777777" w:rsidTr="003D7F7E">
        <w:tc>
          <w:tcPr>
            <w:tcW w:w="2689" w:type="dxa"/>
          </w:tcPr>
          <w:p w14:paraId="08F44382" w14:textId="7D5CE4B3" w:rsidR="00F40408" w:rsidRPr="00145FCF" w:rsidRDefault="005D1925" w:rsidP="003D7F7E">
            <w:pPr>
              <w:rPr>
                <w:i/>
                <w:sz w:val="22"/>
                <w:szCs w:val="22"/>
              </w:rPr>
            </w:pPr>
            <w:r>
              <w:rPr>
                <w:i/>
                <w:sz w:val="22"/>
                <w:szCs w:val="22"/>
              </w:rPr>
              <w:t>Tilsynso</w:t>
            </w:r>
            <w:r w:rsidRPr="00145FCF">
              <w:rPr>
                <w:i/>
                <w:sz w:val="22"/>
                <w:szCs w:val="22"/>
              </w:rPr>
              <w:t>bjekter</w:t>
            </w:r>
          </w:p>
        </w:tc>
        <w:tc>
          <w:tcPr>
            <w:tcW w:w="6662" w:type="dxa"/>
          </w:tcPr>
          <w:p w14:paraId="1DCE8ABA" w14:textId="77777777" w:rsidR="00F40408" w:rsidRPr="00A657F8" w:rsidRDefault="00F40408" w:rsidP="003D7F7E">
            <w:pPr>
              <w:spacing w:after="160"/>
            </w:pPr>
            <w:r w:rsidRPr="00F2691F">
              <w:rPr>
                <w:sz w:val="22"/>
                <w:szCs w:val="22"/>
              </w:rPr>
              <w:t>Ved valg av tilsynsobjekter (virksomheter) tas det hensyn til omfanget av avbrudd for kunder på basis av kunnskap om hendelser – gjentagende avbrudd, mange kunder og annet. Dette tilsynet skal dekke bredden i kraftberedskapsforskriften og energilovforskriftens krav til konsesjonærer. Tilsynet er særlig aktuelt for de enhetene som ikke har hatt tilsyn på lang tid, men i 2021 vil det også omfatte større virksomheter.</w:t>
            </w:r>
            <w:r w:rsidRPr="002D3069">
              <w:t xml:space="preserve"> </w:t>
            </w:r>
          </w:p>
        </w:tc>
      </w:tr>
      <w:tr w:rsidR="00F40408" w:rsidRPr="00145FCF" w14:paraId="3A534060" w14:textId="77777777" w:rsidTr="003D7F7E">
        <w:tc>
          <w:tcPr>
            <w:tcW w:w="2689" w:type="dxa"/>
          </w:tcPr>
          <w:p w14:paraId="576B21E0" w14:textId="77777777" w:rsidR="00F40408" w:rsidRPr="00145FCF" w:rsidRDefault="00F40408" w:rsidP="003D7F7E">
            <w:pPr>
              <w:rPr>
                <w:i/>
                <w:sz w:val="22"/>
                <w:szCs w:val="22"/>
              </w:rPr>
            </w:pPr>
            <w:r w:rsidRPr="00145FCF">
              <w:rPr>
                <w:i/>
                <w:sz w:val="22"/>
                <w:szCs w:val="22"/>
              </w:rPr>
              <w:lastRenderedPageBreak/>
              <w:t>Kontrollmetoder</w:t>
            </w:r>
          </w:p>
        </w:tc>
        <w:tc>
          <w:tcPr>
            <w:tcW w:w="6662" w:type="dxa"/>
          </w:tcPr>
          <w:p w14:paraId="43FF75B4" w14:textId="77777777" w:rsidR="00F40408" w:rsidRPr="00DA5F30" w:rsidRDefault="00F40408" w:rsidP="003D7F7E">
            <w:pPr>
              <w:spacing w:after="160"/>
              <w:rPr>
                <w:sz w:val="22"/>
                <w:szCs w:val="22"/>
              </w:rPr>
            </w:pPr>
            <w:r w:rsidRPr="00F2691F">
              <w:rPr>
                <w:sz w:val="22"/>
                <w:szCs w:val="22"/>
              </w:rPr>
              <w:t>Revisjon, dokumentkontroll</w:t>
            </w:r>
            <w:r>
              <w:rPr>
                <w:sz w:val="22"/>
                <w:szCs w:val="22"/>
              </w:rPr>
              <w:t xml:space="preserve"> </w:t>
            </w:r>
          </w:p>
        </w:tc>
      </w:tr>
    </w:tbl>
    <w:p w14:paraId="09B73EA0" w14:textId="77777777" w:rsidR="00952D2A" w:rsidRDefault="00952D2A" w:rsidP="00952D2A">
      <w:pPr>
        <w:pStyle w:val="Brdtekst"/>
        <w:spacing w:after="0"/>
      </w:pPr>
    </w:p>
    <w:tbl>
      <w:tblPr>
        <w:tblStyle w:val="Tabellrutenett4"/>
        <w:tblW w:w="9351" w:type="dxa"/>
        <w:tblLook w:val="04A0" w:firstRow="1" w:lastRow="0" w:firstColumn="1" w:lastColumn="0" w:noHBand="0" w:noVBand="1"/>
      </w:tblPr>
      <w:tblGrid>
        <w:gridCol w:w="2689"/>
        <w:gridCol w:w="6662"/>
      </w:tblGrid>
      <w:tr w:rsidR="00952D2A" w:rsidRPr="00145FCF" w14:paraId="6669A0FF" w14:textId="77777777" w:rsidTr="003D7F7E">
        <w:tc>
          <w:tcPr>
            <w:tcW w:w="2689" w:type="dxa"/>
            <w:shd w:val="clear" w:color="auto" w:fill="0D0D0D" w:themeFill="text1" w:themeFillTint="F2"/>
          </w:tcPr>
          <w:p w14:paraId="55EA231E" w14:textId="77777777" w:rsidR="00952D2A" w:rsidRPr="00145FCF" w:rsidRDefault="00952D2A" w:rsidP="003D7F7E">
            <w:pPr>
              <w:rPr>
                <w:color w:val="FFFFFF" w:themeColor="background1"/>
                <w:sz w:val="22"/>
                <w:szCs w:val="22"/>
              </w:rPr>
            </w:pPr>
            <w:r w:rsidRPr="00145FCF">
              <w:rPr>
                <w:color w:val="FFFFFF" w:themeColor="background1"/>
                <w:sz w:val="22"/>
                <w:szCs w:val="22"/>
              </w:rPr>
              <w:t>Energiforsyningsberedskap</w:t>
            </w:r>
          </w:p>
        </w:tc>
        <w:tc>
          <w:tcPr>
            <w:tcW w:w="6662" w:type="dxa"/>
            <w:shd w:val="clear" w:color="auto" w:fill="0D0D0D" w:themeFill="text1" w:themeFillTint="F2"/>
          </w:tcPr>
          <w:p w14:paraId="12520912" w14:textId="77777777" w:rsidR="00952D2A" w:rsidRPr="00145FCF" w:rsidRDefault="00952D2A" w:rsidP="003D7F7E">
            <w:pPr>
              <w:pStyle w:val="Brdtekst"/>
              <w:spacing w:after="0"/>
              <w:rPr>
                <w:color w:val="FFFFFF" w:themeColor="background1"/>
                <w:sz w:val="22"/>
                <w:szCs w:val="22"/>
              </w:rPr>
            </w:pPr>
            <w:r w:rsidRPr="00145FCF">
              <w:rPr>
                <w:color w:val="FFFFFF" w:themeColor="background1"/>
                <w:sz w:val="22"/>
                <w:szCs w:val="22"/>
              </w:rPr>
              <w:t>Tilsyns- og beredskapsavdelingen – seksjon for beredskap</w:t>
            </w:r>
          </w:p>
          <w:p w14:paraId="7032C2D7" w14:textId="77777777" w:rsidR="00952D2A" w:rsidRPr="00145FCF" w:rsidRDefault="00952D2A" w:rsidP="003D7F7E">
            <w:pPr>
              <w:rPr>
                <w:color w:val="FFFFFF" w:themeColor="background1"/>
                <w:sz w:val="22"/>
                <w:szCs w:val="22"/>
              </w:rPr>
            </w:pPr>
          </w:p>
        </w:tc>
      </w:tr>
      <w:tr w:rsidR="003E2F5D" w:rsidRPr="00145FCF" w14:paraId="08124BE5" w14:textId="77777777" w:rsidTr="003D7F7E">
        <w:tc>
          <w:tcPr>
            <w:tcW w:w="2689" w:type="dxa"/>
          </w:tcPr>
          <w:p w14:paraId="7D52503E" w14:textId="77777777" w:rsidR="003E2F5D" w:rsidRPr="00145FCF" w:rsidRDefault="003E2F5D" w:rsidP="003E2F5D">
            <w:pPr>
              <w:rPr>
                <w:i/>
                <w:sz w:val="22"/>
                <w:szCs w:val="22"/>
                <w:highlight w:val="yellow"/>
              </w:rPr>
            </w:pPr>
            <w:r w:rsidRPr="00145FCF">
              <w:rPr>
                <w:i/>
                <w:sz w:val="22"/>
                <w:szCs w:val="22"/>
              </w:rPr>
              <w:t>Tema</w:t>
            </w:r>
          </w:p>
        </w:tc>
        <w:tc>
          <w:tcPr>
            <w:tcW w:w="6662" w:type="dxa"/>
          </w:tcPr>
          <w:p w14:paraId="2050D1E9" w14:textId="77777777" w:rsidR="003E2F5D" w:rsidRPr="003E2F5D" w:rsidRDefault="003E2F5D" w:rsidP="003E2F5D">
            <w:pPr>
              <w:spacing w:after="160" w:line="280" w:lineRule="exact"/>
              <w:rPr>
                <w:sz w:val="22"/>
                <w:szCs w:val="22"/>
              </w:rPr>
            </w:pPr>
            <w:r w:rsidRPr="003E2F5D">
              <w:rPr>
                <w:sz w:val="22"/>
                <w:szCs w:val="22"/>
              </w:rPr>
              <w:t>Tilsyn etter kraftberedskapsforskriften er organisert i ulike tema som alle er viktige for å kontrollere helheten i arbeidet med sikkerhet og beredskap i kraftforsyningen. Tilsyn retter seg mot virksomheter og deres anlegg som er i drift.</w:t>
            </w:r>
          </w:p>
          <w:p w14:paraId="08A98002" w14:textId="0BCC75CF" w:rsidR="003E2F5D" w:rsidRPr="003E2F5D" w:rsidRDefault="003E2F5D" w:rsidP="003E2F5D">
            <w:pPr>
              <w:spacing w:after="160" w:line="280" w:lineRule="exact"/>
              <w:rPr>
                <w:sz w:val="22"/>
                <w:szCs w:val="22"/>
              </w:rPr>
            </w:pPr>
            <w:r w:rsidRPr="00615C4E">
              <w:rPr>
                <w:i/>
                <w:iCs/>
                <w:sz w:val="22"/>
                <w:szCs w:val="22"/>
              </w:rPr>
              <w:t xml:space="preserve">Reparasjonsberedskap og sikring </w:t>
            </w:r>
            <w:r w:rsidRPr="003E2F5D">
              <w:rPr>
                <w:sz w:val="22"/>
                <w:szCs w:val="22"/>
              </w:rPr>
              <w:t>(</w:t>
            </w:r>
            <w:proofErr w:type="spellStart"/>
            <w:r w:rsidRPr="003E2F5D">
              <w:rPr>
                <w:sz w:val="22"/>
                <w:szCs w:val="22"/>
              </w:rPr>
              <w:t>tilsynstemaene</w:t>
            </w:r>
            <w:proofErr w:type="spellEnd"/>
            <w:r w:rsidRPr="003E2F5D">
              <w:rPr>
                <w:sz w:val="22"/>
                <w:szCs w:val="22"/>
              </w:rPr>
              <w:t xml:space="preserve"> er slått sammen): Tilsynet har hovedfokus på tilgang til reservedeler, kompetanse og øvrige ressurser, blant annet tungtransportplaner og beredskapsavtaler. Avbrudd i forsyningen på grunn av lange reparasjonstider vektlegges. Gassisolerte koblingsanlegg og krafttransformatorer utmerker seg med lang levetid, høy pålitelighet og lange reparasjonstider. Tilsynet gjennomføres med klassifiserte anlegg i klasse 2 og 3. Dette er de mest vesentlige anleggene for forsyningssikkerheten og der konsekvensene ved avbrudd er størst. </w:t>
            </w:r>
          </w:p>
          <w:p w14:paraId="69A0939B" w14:textId="77777777" w:rsidR="003E2F5D" w:rsidRPr="003E2F5D" w:rsidRDefault="003E2F5D" w:rsidP="003E2F5D">
            <w:pPr>
              <w:spacing w:after="160" w:line="280" w:lineRule="exact"/>
              <w:rPr>
                <w:sz w:val="22"/>
                <w:szCs w:val="22"/>
              </w:rPr>
            </w:pPr>
            <w:r w:rsidRPr="004F72E8">
              <w:rPr>
                <w:i/>
                <w:iCs/>
                <w:sz w:val="22"/>
                <w:szCs w:val="22"/>
              </w:rPr>
              <w:t>Driftskontrollsystemer</w:t>
            </w:r>
            <w:r w:rsidRPr="003E2F5D">
              <w:rPr>
                <w:sz w:val="22"/>
                <w:szCs w:val="22"/>
              </w:rPr>
              <w:t>: Tilsynet gjennomføres med driftskontrollsystemer i alle klasser. Kraftberedskapsforskriften har enkelte nye bestemmelser som inngår. Tilsynet inneholder spørsmål om IKT-sikkerhet for SCADA-systemer, aksesspunkter fra administrative datasystemer og mot internett, samt redundans i utstyr og sambandsveier. Tilsyn med øvrige sikringstiltak i de fysiske delene av driftskontrollsystemene gjennomføres under overskriften sikring.</w:t>
            </w:r>
          </w:p>
          <w:p w14:paraId="7F88BB61" w14:textId="7F924E29" w:rsidR="003E2F5D" w:rsidRPr="003E2F5D" w:rsidRDefault="003E2F5D" w:rsidP="003E2F5D">
            <w:pPr>
              <w:spacing w:after="160" w:line="280" w:lineRule="exact"/>
              <w:rPr>
                <w:sz w:val="22"/>
                <w:szCs w:val="22"/>
              </w:rPr>
            </w:pPr>
            <w:r w:rsidRPr="004F72E8">
              <w:rPr>
                <w:i/>
                <w:iCs/>
                <w:sz w:val="22"/>
                <w:szCs w:val="22"/>
              </w:rPr>
              <w:t>Informasjonssikkerhet, personellsikkerhet og AMS</w:t>
            </w:r>
            <w:r w:rsidRPr="003E2F5D">
              <w:rPr>
                <w:sz w:val="22"/>
                <w:szCs w:val="22"/>
              </w:rPr>
              <w:t xml:space="preserve">: Tilsynet retter oppmerksomhet mot beskyttelse av kraftsensitiv informasjon. Dette tilsynet er tatt opp i 2019 etter en periode med svært begrenset omfang fordi det pågikk et regelverksarbeid. Kraftberedskapsforskriften inneholder nye og reviderte bestemmelser i kapittel 6. Tilsynsobjekter velges ut fra stikkprøver og forventet vesentlighet av informasjon som disse besitter. Paragraf 6-9 om personkontroll ble fornyet i 2019, men foreslått endret igjen 2020. Forskriftsarbeidet er ikke avsluttet og tilsyn dermed ikke prioritert. </w:t>
            </w:r>
          </w:p>
          <w:p w14:paraId="2866BAA0" w14:textId="61FC482C" w:rsidR="003E2F5D" w:rsidRPr="003E2F5D" w:rsidRDefault="003E2F5D" w:rsidP="003E2F5D">
            <w:pPr>
              <w:spacing w:after="160" w:line="280" w:lineRule="exact"/>
              <w:rPr>
                <w:sz w:val="22"/>
                <w:szCs w:val="22"/>
              </w:rPr>
            </w:pPr>
            <w:r w:rsidRPr="004F72E8">
              <w:rPr>
                <w:i/>
                <w:iCs/>
                <w:sz w:val="22"/>
                <w:szCs w:val="22"/>
              </w:rPr>
              <w:t>Oppfølging etter hendelser:</w:t>
            </w:r>
            <w:r w:rsidRPr="003E2F5D">
              <w:rPr>
                <w:sz w:val="22"/>
                <w:szCs w:val="22"/>
              </w:rPr>
              <w:t xml:space="preserve"> En del hendelser er rapporteringspliktige og disse følges opp etter alvorlighet.</w:t>
            </w:r>
          </w:p>
        </w:tc>
      </w:tr>
      <w:tr w:rsidR="003E2F5D" w:rsidRPr="00145FCF" w14:paraId="7E1B29F0" w14:textId="77777777" w:rsidTr="003D7F7E">
        <w:tc>
          <w:tcPr>
            <w:tcW w:w="2689" w:type="dxa"/>
          </w:tcPr>
          <w:p w14:paraId="40F63368" w14:textId="2472E21B" w:rsidR="003E2F5D" w:rsidRPr="00145FCF" w:rsidRDefault="005D1925" w:rsidP="003E2F5D">
            <w:pPr>
              <w:rPr>
                <w:i/>
                <w:sz w:val="22"/>
                <w:szCs w:val="22"/>
              </w:rPr>
            </w:pPr>
            <w:r>
              <w:rPr>
                <w:i/>
                <w:sz w:val="22"/>
                <w:szCs w:val="22"/>
              </w:rPr>
              <w:t>Tilsynso</w:t>
            </w:r>
            <w:r w:rsidRPr="00145FCF">
              <w:rPr>
                <w:i/>
                <w:sz w:val="22"/>
                <w:szCs w:val="22"/>
              </w:rPr>
              <w:t>bjekter</w:t>
            </w:r>
          </w:p>
        </w:tc>
        <w:tc>
          <w:tcPr>
            <w:tcW w:w="6662" w:type="dxa"/>
          </w:tcPr>
          <w:p w14:paraId="010A2ADE" w14:textId="36CB24C7" w:rsidR="003E2F5D" w:rsidRPr="00DA5F30" w:rsidRDefault="003E2F5D" w:rsidP="003E2F5D">
            <w:pPr>
              <w:spacing w:after="160"/>
              <w:rPr>
                <w:rFonts w:cs="Times New Roman"/>
                <w:sz w:val="22"/>
                <w:szCs w:val="22"/>
              </w:rPr>
            </w:pPr>
            <w:r w:rsidRPr="003E2F5D">
              <w:rPr>
                <w:rFonts w:cs="Times New Roman"/>
                <w:sz w:val="22"/>
                <w:szCs w:val="22"/>
              </w:rPr>
              <w:t>Tilsynsvirksomheten er rettet mot virksomheter og deres ulike kategorier av anlegg, systemer og informasjon: kraftstasjoner, transformatorstasjoner, driftskontrollsystemer og IKT-systemer generelt.</w:t>
            </w:r>
          </w:p>
        </w:tc>
      </w:tr>
      <w:tr w:rsidR="003E2F5D" w:rsidRPr="00145FCF" w14:paraId="33D55E96" w14:textId="77777777" w:rsidTr="003D7F7E">
        <w:tc>
          <w:tcPr>
            <w:tcW w:w="2689" w:type="dxa"/>
          </w:tcPr>
          <w:p w14:paraId="7324CB3B" w14:textId="77777777" w:rsidR="003E2F5D" w:rsidRPr="00145FCF" w:rsidRDefault="003E2F5D" w:rsidP="003E2F5D">
            <w:pPr>
              <w:rPr>
                <w:i/>
                <w:sz w:val="22"/>
                <w:szCs w:val="22"/>
              </w:rPr>
            </w:pPr>
            <w:r w:rsidRPr="00145FCF">
              <w:rPr>
                <w:i/>
                <w:sz w:val="22"/>
                <w:szCs w:val="22"/>
              </w:rPr>
              <w:t>Kontrollmetoder</w:t>
            </w:r>
          </w:p>
        </w:tc>
        <w:tc>
          <w:tcPr>
            <w:tcW w:w="6662" w:type="dxa"/>
          </w:tcPr>
          <w:p w14:paraId="65958327" w14:textId="39A499ED" w:rsidR="003E2F5D" w:rsidRPr="00DA5F30" w:rsidRDefault="003E2F5D" w:rsidP="003E2F5D">
            <w:pPr>
              <w:spacing w:after="160"/>
              <w:rPr>
                <w:sz w:val="22"/>
                <w:szCs w:val="22"/>
              </w:rPr>
            </w:pPr>
            <w:r w:rsidRPr="003E2F5D">
              <w:rPr>
                <w:sz w:val="22"/>
                <w:szCs w:val="22"/>
              </w:rPr>
              <w:t>Revisjon, dokumentkontroll, spørreundersøkelse og innrapportering</w:t>
            </w:r>
          </w:p>
        </w:tc>
      </w:tr>
    </w:tbl>
    <w:p w14:paraId="1B9A7E28" w14:textId="77777777" w:rsidR="00952D2A" w:rsidRPr="00145FCF" w:rsidRDefault="00952D2A" w:rsidP="00952D2A"/>
    <w:tbl>
      <w:tblPr>
        <w:tblStyle w:val="Tabellrutenett4"/>
        <w:tblW w:w="9351" w:type="dxa"/>
        <w:tblLook w:val="04A0" w:firstRow="1" w:lastRow="0" w:firstColumn="1" w:lastColumn="0" w:noHBand="0" w:noVBand="1"/>
      </w:tblPr>
      <w:tblGrid>
        <w:gridCol w:w="2689"/>
        <w:gridCol w:w="6662"/>
      </w:tblGrid>
      <w:tr w:rsidR="00952D2A" w:rsidRPr="00145FCF" w14:paraId="0FD548FD" w14:textId="77777777" w:rsidTr="003D7F7E">
        <w:tc>
          <w:tcPr>
            <w:tcW w:w="2689" w:type="dxa"/>
            <w:shd w:val="clear" w:color="auto" w:fill="0D0D0D" w:themeFill="text1" w:themeFillTint="F2"/>
          </w:tcPr>
          <w:p w14:paraId="10E679F5" w14:textId="77777777" w:rsidR="00952D2A" w:rsidRPr="00145FCF" w:rsidRDefault="00952D2A" w:rsidP="003D7F7E">
            <w:pPr>
              <w:rPr>
                <w:color w:val="FFFFFF" w:themeColor="background1"/>
                <w:sz w:val="22"/>
                <w:szCs w:val="22"/>
              </w:rPr>
            </w:pPr>
            <w:r w:rsidRPr="00145FCF">
              <w:rPr>
                <w:color w:val="FFFFFF" w:themeColor="background1"/>
                <w:sz w:val="22"/>
                <w:szCs w:val="22"/>
              </w:rPr>
              <w:t>Fjernvarmeanlegg</w:t>
            </w:r>
          </w:p>
        </w:tc>
        <w:tc>
          <w:tcPr>
            <w:tcW w:w="6662" w:type="dxa"/>
            <w:shd w:val="clear" w:color="auto" w:fill="0D0D0D" w:themeFill="text1" w:themeFillTint="F2"/>
          </w:tcPr>
          <w:p w14:paraId="74E17308" w14:textId="77777777" w:rsidR="00952D2A" w:rsidRPr="00145FCF" w:rsidRDefault="00952D2A" w:rsidP="003D7F7E">
            <w:pPr>
              <w:pStyle w:val="Brdtekst"/>
              <w:spacing w:after="0"/>
              <w:rPr>
                <w:color w:val="FFFFFF" w:themeColor="background1"/>
                <w:sz w:val="22"/>
                <w:szCs w:val="22"/>
              </w:rPr>
            </w:pPr>
            <w:r w:rsidRPr="00145FCF">
              <w:rPr>
                <w:color w:val="FFFFFF" w:themeColor="background1"/>
                <w:sz w:val="22"/>
                <w:szCs w:val="22"/>
              </w:rPr>
              <w:t>Tilsyns- og beredskapsavdelingen – seksjon for beredskap</w:t>
            </w:r>
          </w:p>
          <w:p w14:paraId="0807019B" w14:textId="77777777" w:rsidR="00952D2A" w:rsidRPr="00145FCF" w:rsidRDefault="00952D2A" w:rsidP="003D7F7E">
            <w:pPr>
              <w:rPr>
                <w:color w:val="FFFFFF" w:themeColor="background1"/>
                <w:sz w:val="22"/>
                <w:szCs w:val="22"/>
              </w:rPr>
            </w:pPr>
          </w:p>
        </w:tc>
      </w:tr>
      <w:tr w:rsidR="00952D2A" w:rsidRPr="00145FCF" w14:paraId="084834AA" w14:textId="77777777" w:rsidTr="003D7F7E">
        <w:tc>
          <w:tcPr>
            <w:tcW w:w="2689" w:type="dxa"/>
          </w:tcPr>
          <w:p w14:paraId="045DD5CD" w14:textId="77777777" w:rsidR="00952D2A" w:rsidRPr="00145FCF" w:rsidRDefault="00952D2A" w:rsidP="003D7F7E">
            <w:pPr>
              <w:rPr>
                <w:i/>
                <w:sz w:val="22"/>
                <w:szCs w:val="22"/>
              </w:rPr>
            </w:pPr>
            <w:r w:rsidRPr="00145FCF">
              <w:rPr>
                <w:i/>
                <w:sz w:val="22"/>
                <w:szCs w:val="22"/>
              </w:rPr>
              <w:t>Tema</w:t>
            </w:r>
          </w:p>
        </w:tc>
        <w:tc>
          <w:tcPr>
            <w:tcW w:w="6662" w:type="dxa"/>
          </w:tcPr>
          <w:p w14:paraId="10FF5EB5" w14:textId="77777777" w:rsidR="00427E4B" w:rsidRPr="00427E4B" w:rsidRDefault="00427E4B" w:rsidP="00427E4B">
            <w:pPr>
              <w:spacing w:after="160"/>
              <w:rPr>
                <w:rFonts w:cs="Times New Roman"/>
                <w:sz w:val="22"/>
                <w:szCs w:val="22"/>
              </w:rPr>
            </w:pPr>
            <w:r w:rsidRPr="00427E4B">
              <w:rPr>
                <w:rFonts w:cs="Times New Roman"/>
                <w:sz w:val="22"/>
                <w:szCs w:val="22"/>
              </w:rPr>
              <w:t xml:space="preserve">Det gjennomføres tilsyn med fjernvarmeanlegg relatert til konsesjonsvilkår samt krav i energilov, energilovforskrift og </w:t>
            </w:r>
            <w:r w:rsidRPr="00427E4B">
              <w:rPr>
                <w:rFonts w:cs="Times New Roman"/>
                <w:sz w:val="22"/>
                <w:szCs w:val="22"/>
              </w:rPr>
              <w:lastRenderedPageBreak/>
              <w:t>kraftberedskapsforskrift. Hovedfokus er rettet mot rutiner for vedlikehold av anleggene.</w:t>
            </w:r>
          </w:p>
          <w:p w14:paraId="1EDFBC51" w14:textId="2FE10CDD" w:rsidR="00952D2A" w:rsidRPr="00DA5F30" w:rsidRDefault="00427E4B" w:rsidP="00427E4B">
            <w:pPr>
              <w:spacing w:after="160"/>
              <w:rPr>
                <w:rFonts w:cs="Times New Roman"/>
                <w:sz w:val="22"/>
                <w:szCs w:val="22"/>
              </w:rPr>
            </w:pPr>
            <w:r w:rsidRPr="00427E4B">
              <w:rPr>
                <w:rFonts w:cs="Times New Roman"/>
                <w:sz w:val="22"/>
                <w:szCs w:val="22"/>
              </w:rPr>
              <w:t xml:space="preserve">Se også temabeskrivelsene </w:t>
            </w:r>
            <w:r w:rsidRPr="00427E4B">
              <w:rPr>
                <w:rFonts w:cs="Times New Roman"/>
                <w:i/>
                <w:iCs/>
                <w:sz w:val="22"/>
                <w:szCs w:val="22"/>
              </w:rPr>
              <w:t>Drift, modernisering og vedlikehold og Energiforsyningsberedskap</w:t>
            </w:r>
            <w:r w:rsidRPr="00427E4B">
              <w:rPr>
                <w:rFonts w:cs="Times New Roman"/>
                <w:sz w:val="22"/>
                <w:szCs w:val="22"/>
              </w:rPr>
              <w:t>.</w:t>
            </w:r>
          </w:p>
        </w:tc>
      </w:tr>
      <w:tr w:rsidR="00952D2A" w:rsidRPr="00145FCF" w14:paraId="00E5A22C" w14:textId="77777777" w:rsidTr="003D7F7E">
        <w:tc>
          <w:tcPr>
            <w:tcW w:w="2689" w:type="dxa"/>
          </w:tcPr>
          <w:p w14:paraId="55190AF0" w14:textId="0B0DF53D" w:rsidR="00952D2A" w:rsidRPr="00145FCF" w:rsidRDefault="005D1925" w:rsidP="003D7F7E">
            <w:pPr>
              <w:rPr>
                <w:i/>
                <w:sz w:val="22"/>
                <w:szCs w:val="22"/>
              </w:rPr>
            </w:pPr>
            <w:r>
              <w:rPr>
                <w:i/>
                <w:sz w:val="22"/>
                <w:szCs w:val="22"/>
              </w:rPr>
              <w:lastRenderedPageBreak/>
              <w:t>Tilsynso</w:t>
            </w:r>
            <w:r w:rsidRPr="00145FCF">
              <w:rPr>
                <w:i/>
                <w:sz w:val="22"/>
                <w:szCs w:val="22"/>
              </w:rPr>
              <w:t>bjekter</w:t>
            </w:r>
          </w:p>
        </w:tc>
        <w:tc>
          <w:tcPr>
            <w:tcW w:w="6662" w:type="dxa"/>
          </w:tcPr>
          <w:p w14:paraId="3CC58755" w14:textId="10FFAC5F" w:rsidR="00952D2A" w:rsidRPr="00DA5F30" w:rsidRDefault="0094285A" w:rsidP="003D7F7E">
            <w:pPr>
              <w:spacing w:after="160"/>
              <w:rPr>
                <w:rFonts w:cs="Times New Roman"/>
                <w:sz w:val="22"/>
                <w:szCs w:val="22"/>
              </w:rPr>
            </w:pPr>
            <w:r w:rsidRPr="0094285A">
              <w:rPr>
                <w:rFonts w:cs="Times New Roman"/>
                <w:sz w:val="22"/>
                <w:szCs w:val="22"/>
              </w:rPr>
              <w:t>Tilsynet er rettet mot virksomhet og eventuelt varmesentraler. Ved valg av tilsynsobjekter, kan ikke utelukkende risiko eller vesentlighet legges til grunn, da antall leverandører er så lavt og de aller fleste har hatt tilsyn innenfor de seneste år, samt at antall tilsyn er forhåndsbestemt (4 - 5 selskaper). Driftskontrollsystemer for fjernvarme (SRO-systemer) er like utsatt for logiske angrep og like sårbare som andre IKT-systemer. Konsekvensene ved feil kan være store i forsyningsområdet.</w:t>
            </w:r>
          </w:p>
        </w:tc>
      </w:tr>
      <w:tr w:rsidR="00952D2A" w:rsidRPr="00145FCF" w14:paraId="3F7310E8" w14:textId="77777777" w:rsidTr="003D7F7E">
        <w:tc>
          <w:tcPr>
            <w:tcW w:w="2689" w:type="dxa"/>
          </w:tcPr>
          <w:p w14:paraId="048B20BE" w14:textId="5996D510" w:rsidR="00952D2A" w:rsidRPr="00145FCF" w:rsidRDefault="003141FB" w:rsidP="003D7F7E">
            <w:pPr>
              <w:rPr>
                <w:i/>
                <w:sz w:val="22"/>
                <w:szCs w:val="22"/>
              </w:rPr>
            </w:pPr>
            <w:r>
              <w:rPr>
                <w:i/>
                <w:sz w:val="22"/>
                <w:szCs w:val="22"/>
              </w:rPr>
              <w:t>Kontroll</w:t>
            </w:r>
            <w:r w:rsidR="00952D2A" w:rsidRPr="00145FCF">
              <w:rPr>
                <w:i/>
                <w:sz w:val="22"/>
                <w:szCs w:val="22"/>
              </w:rPr>
              <w:t>metoder</w:t>
            </w:r>
          </w:p>
        </w:tc>
        <w:tc>
          <w:tcPr>
            <w:tcW w:w="6662" w:type="dxa"/>
          </w:tcPr>
          <w:p w14:paraId="6873D9B0" w14:textId="46224325" w:rsidR="00952D2A" w:rsidRPr="00DA5F30" w:rsidRDefault="0094285A" w:rsidP="003D7F7E">
            <w:pPr>
              <w:spacing w:after="160"/>
              <w:rPr>
                <w:rFonts w:cs="Times New Roman"/>
                <w:sz w:val="22"/>
                <w:szCs w:val="22"/>
              </w:rPr>
            </w:pPr>
            <w:r>
              <w:rPr>
                <w:rFonts w:cs="Times New Roman"/>
                <w:sz w:val="22"/>
                <w:szCs w:val="22"/>
              </w:rPr>
              <w:t>Revisjon</w:t>
            </w:r>
          </w:p>
        </w:tc>
      </w:tr>
    </w:tbl>
    <w:p w14:paraId="3C5C7850" w14:textId="77777777" w:rsidR="00952D2A" w:rsidRPr="00145FCF" w:rsidRDefault="00952D2A" w:rsidP="00952D2A"/>
    <w:p w14:paraId="04A00768" w14:textId="4E6A1002" w:rsidR="000B6F72" w:rsidRDefault="000B6F72"/>
    <w:p w14:paraId="5A5EF7E3" w14:textId="3B8551CD" w:rsidR="00952D2A" w:rsidRDefault="00952D2A" w:rsidP="00952D2A">
      <w:pPr>
        <w:pStyle w:val="Brdtekst"/>
        <w:numPr>
          <w:ilvl w:val="0"/>
          <w:numId w:val="5"/>
        </w:numPr>
        <w:spacing w:after="0"/>
      </w:pPr>
      <w:r w:rsidRPr="000447E0">
        <w:t>Energimerking og energibruk</w:t>
      </w:r>
    </w:p>
    <w:p w14:paraId="3674AA67" w14:textId="77777777" w:rsidR="00EE3FA9" w:rsidRPr="000447E0" w:rsidRDefault="00EE3FA9" w:rsidP="00EE3FA9">
      <w:pPr>
        <w:pStyle w:val="Brdtekst"/>
        <w:spacing w:after="0"/>
        <w:ind w:left="60"/>
      </w:pPr>
    </w:p>
    <w:tbl>
      <w:tblPr>
        <w:tblStyle w:val="Tabellrutenett5"/>
        <w:tblW w:w="9351" w:type="dxa"/>
        <w:tblLook w:val="04A0" w:firstRow="1" w:lastRow="0" w:firstColumn="1" w:lastColumn="0" w:noHBand="0" w:noVBand="1"/>
      </w:tblPr>
      <w:tblGrid>
        <w:gridCol w:w="2689"/>
        <w:gridCol w:w="6662"/>
      </w:tblGrid>
      <w:tr w:rsidR="00EE3FA9" w:rsidRPr="00EE3FA9" w14:paraId="3014B642" w14:textId="77777777" w:rsidTr="003D7F7E">
        <w:tc>
          <w:tcPr>
            <w:tcW w:w="2689" w:type="dxa"/>
            <w:shd w:val="clear" w:color="auto" w:fill="0D0D0D" w:themeFill="text1" w:themeFillTint="F2"/>
          </w:tcPr>
          <w:p w14:paraId="31EC6A9E" w14:textId="77777777" w:rsidR="00EE3FA9" w:rsidRPr="00061D18" w:rsidRDefault="00EE3FA9" w:rsidP="00EE3FA9">
            <w:pPr>
              <w:spacing w:after="160"/>
              <w:rPr>
                <w:sz w:val="22"/>
                <w:szCs w:val="22"/>
              </w:rPr>
            </w:pPr>
            <w:r w:rsidRPr="00061D18">
              <w:rPr>
                <w:sz w:val="22"/>
                <w:szCs w:val="22"/>
              </w:rPr>
              <w:t>Energimerking av bygg og energivurderinger</w:t>
            </w:r>
          </w:p>
        </w:tc>
        <w:tc>
          <w:tcPr>
            <w:tcW w:w="6662" w:type="dxa"/>
            <w:shd w:val="clear" w:color="auto" w:fill="0D0D0D" w:themeFill="text1" w:themeFillTint="F2"/>
          </w:tcPr>
          <w:p w14:paraId="55C2F3A8" w14:textId="47FEE734" w:rsidR="00EE3FA9" w:rsidRPr="00175216" w:rsidRDefault="00175216" w:rsidP="00175216">
            <w:r w:rsidRPr="00AD0F45">
              <w:t>Energi</w:t>
            </w:r>
            <w:r>
              <w:t>- og konsesjons</w:t>
            </w:r>
            <w:r w:rsidRPr="00AD0F45">
              <w:t xml:space="preserve">avdelingen – </w:t>
            </w:r>
          </w:p>
          <w:p w14:paraId="330A6014" w14:textId="77777777" w:rsidR="00EE3FA9" w:rsidRPr="00061D18" w:rsidRDefault="00EE3FA9" w:rsidP="00EE3FA9">
            <w:pPr>
              <w:spacing w:after="160"/>
              <w:rPr>
                <w:sz w:val="22"/>
                <w:szCs w:val="22"/>
              </w:rPr>
            </w:pPr>
            <w:r w:rsidRPr="00061D18">
              <w:rPr>
                <w:sz w:val="22"/>
                <w:szCs w:val="22"/>
              </w:rPr>
              <w:t>seksjon for energibruk og teknologier</w:t>
            </w:r>
          </w:p>
        </w:tc>
      </w:tr>
      <w:tr w:rsidR="00EE3FA9" w:rsidRPr="00EE3FA9" w14:paraId="1E318604" w14:textId="77777777" w:rsidTr="003D7F7E">
        <w:tc>
          <w:tcPr>
            <w:tcW w:w="2689" w:type="dxa"/>
          </w:tcPr>
          <w:p w14:paraId="25A0D766" w14:textId="77777777" w:rsidR="00EE3FA9" w:rsidRPr="00061D18" w:rsidRDefault="00EE3FA9" w:rsidP="00EE3FA9">
            <w:pPr>
              <w:spacing w:after="160"/>
              <w:rPr>
                <w:i/>
                <w:iCs/>
                <w:sz w:val="22"/>
                <w:szCs w:val="22"/>
              </w:rPr>
            </w:pPr>
            <w:r w:rsidRPr="00061D18">
              <w:rPr>
                <w:i/>
                <w:iCs/>
                <w:sz w:val="22"/>
                <w:szCs w:val="22"/>
              </w:rPr>
              <w:t>Tema</w:t>
            </w:r>
          </w:p>
        </w:tc>
        <w:tc>
          <w:tcPr>
            <w:tcW w:w="6662" w:type="dxa"/>
          </w:tcPr>
          <w:p w14:paraId="26741A3B" w14:textId="77777777" w:rsidR="00EE3FA9" w:rsidRPr="00061D18" w:rsidRDefault="00EE3FA9" w:rsidP="00EE3FA9">
            <w:pPr>
              <w:spacing w:after="160"/>
              <w:rPr>
                <w:sz w:val="22"/>
                <w:szCs w:val="22"/>
              </w:rPr>
            </w:pPr>
            <w:r w:rsidRPr="00061D18">
              <w:rPr>
                <w:sz w:val="22"/>
                <w:szCs w:val="22"/>
              </w:rPr>
              <w:t xml:space="preserve">Energivurdering av tekniske anlegg. </w:t>
            </w:r>
          </w:p>
          <w:p w14:paraId="4F1F096C" w14:textId="77777777" w:rsidR="00EE3FA9" w:rsidRPr="00061D18" w:rsidRDefault="00EE3FA9" w:rsidP="00EE3FA9">
            <w:pPr>
              <w:spacing w:after="160"/>
              <w:rPr>
                <w:sz w:val="22"/>
                <w:szCs w:val="22"/>
              </w:rPr>
            </w:pPr>
            <w:r w:rsidRPr="00061D18">
              <w:rPr>
                <w:sz w:val="22"/>
                <w:szCs w:val="22"/>
              </w:rPr>
              <w:t>Undersøkelser i forbindelse med kontroll av energimerking i 2020 avdekket en lav etterlevelsesgrad innen energivurdering av tekniske anlegg. Det ligger et stort energisparepotensial i riktig drift av varme og kjølesystemer.</w:t>
            </w:r>
          </w:p>
          <w:p w14:paraId="74B952B7" w14:textId="77777777" w:rsidR="00EE3FA9" w:rsidRPr="00061D18" w:rsidRDefault="00EE3FA9" w:rsidP="00EE3FA9">
            <w:pPr>
              <w:spacing w:after="160"/>
              <w:rPr>
                <w:sz w:val="22"/>
                <w:szCs w:val="22"/>
              </w:rPr>
            </w:pPr>
            <w:r w:rsidRPr="00061D18">
              <w:rPr>
                <w:sz w:val="22"/>
                <w:szCs w:val="22"/>
              </w:rPr>
              <w:t>Tilsynsresultatene vil legge grunnlag for videre dialog og informasjonsvirksomhet rettet mot eiere av tekniske anlegg.</w:t>
            </w:r>
          </w:p>
          <w:p w14:paraId="04A7388F" w14:textId="77777777" w:rsidR="00EE3FA9" w:rsidRPr="00061D18" w:rsidRDefault="00EE3FA9" w:rsidP="00EE3FA9">
            <w:pPr>
              <w:spacing w:after="160"/>
              <w:rPr>
                <w:sz w:val="22"/>
                <w:szCs w:val="22"/>
              </w:rPr>
            </w:pPr>
            <w:r w:rsidRPr="00061D18">
              <w:rPr>
                <w:sz w:val="22"/>
                <w:szCs w:val="22"/>
              </w:rPr>
              <w:t>I tillegg til årlig tilsynsplan, vil vi også utarbeide en strategisk tilsynsplan for perioden 2022 - 2025.</w:t>
            </w:r>
          </w:p>
        </w:tc>
      </w:tr>
      <w:tr w:rsidR="00EE3FA9" w:rsidRPr="00EE3FA9" w14:paraId="6EED64DE" w14:textId="77777777" w:rsidTr="003D7F7E">
        <w:tc>
          <w:tcPr>
            <w:tcW w:w="2689" w:type="dxa"/>
          </w:tcPr>
          <w:p w14:paraId="6CEF068A" w14:textId="7E2F222A" w:rsidR="00EE3FA9" w:rsidRPr="00061D18" w:rsidRDefault="005D1925" w:rsidP="00EE3FA9">
            <w:pPr>
              <w:spacing w:after="160"/>
              <w:rPr>
                <w:i/>
                <w:iCs/>
                <w:sz w:val="22"/>
                <w:szCs w:val="22"/>
              </w:rPr>
            </w:pPr>
            <w:r>
              <w:rPr>
                <w:i/>
                <w:sz w:val="22"/>
                <w:szCs w:val="22"/>
              </w:rPr>
              <w:t>Tilsynso</w:t>
            </w:r>
            <w:r w:rsidRPr="00145FCF">
              <w:rPr>
                <w:i/>
                <w:sz w:val="22"/>
                <w:szCs w:val="22"/>
              </w:rPr>
              <w:t>bjekter</w:t>
            </w:r>
          </w:p>
        </w:tc>
        <w:tc>
          <w:tcPr>
            <w:tcW w:w="6662" w:type="dxa"/>
          </w:tcPr>
          <w:p w14:paraId="28DADA17" w14:textId="77777777" w:rsidR="00EE3FA9" w:rsidRPr="00061D18" w:rsidRDefault="00EE3FA9" w:rsidP="00EE3FA9">
            <w:pPr>
              <w:spacing w:after="160"/>
              <w:rPr>
                <w:sz w:val="22"/>
                <w:szCs w:val="22"/>
              </w:rPr>
            </w:pPr>
            <w:r w:rsidRPr="00061D18">
              <w:rPr>
                <w:sz w:val="22"/>
                <w:szCs w:val="22"/>
              </w:rPr>
              <w:t>Eiere av tekniske anlegg (som er pliktig å gjennomføre energivurdering)</w:t>
            </w:r>
          </w:p>
        </w:tc>
      </w:tr>
      <w:tr w:rsidR="00EE3FA9" w:rsidRPr="00EE3FA9" w14:paraId="0BDBDE0C" w14:textId="77777777" w:rsidTr="003D7F7E">
        <w:tc>
          <w:tcPr>
            <w:tcW w:w="2689" w:type="dxa"/>
          </w:tcPr>
          <w:p w14:paraId="2443818D" w14:textId="77777777" w:rsidR="00EE3FA9" w:rsidRPr="00061D18" w:rsidRDefault="00EE3FA9" w:rsidP="00EE3FA9">
            <w:pPr>
              <w:spacing w:after="160"/>
              <w:rPr>
                <w:i/>
                <w:iCs/>
                <w:sz w:val="22"/>
                <w:szCs w:val="22"/>
              </w:rPr>
            </w:pPr>
            <w:r w:rsidRPr="00061D18">
              <w:rPr>
                <w:i/>
                <w:iCs/>
                <w:sz w:val="22"/>
                <w:szCs w:val="22"/>
              </w:rPr>
              <w:t>Kontrollmetoder</w:t>
            </w:r>
          </w:p>
        </w:tc>
        <w:tc>
          <w:tcPr>
            <w:tcW w:w="6662" w:type="dxa"/>
          </w:tcPr>
          <w:p w14:paraId="4CCDBD16" w14:textId="77777777" w:rsidR="00EE3FA9" w:rsidRPr="00061D18" w:rsidRDefault="00EE3FA9" w:rsidP="00EE3FA9">
            <w:pPr>
              <w:spacing w:after="160"/>
              <w:rPr>
                <w:sz w:val="22"/>
                <w:szCs w:val="22"/>
              </w:rPr>
            </w:pPr>
            <w:r w:rsidRPr="00061D18">
              <w:rPr>
                <w:sz w:val="22"/>
                <w:szCs w:val="22"/>
              </w:rPr>
              <w:t xml:space="preserve">Dokumentkontroll  </w:t>
            </w:r>
          </w:p>
        </w:tc>
      </w:tr>
    </w:tbl>
    <w:p w14:paraId="0858B362" w14:textId="1B78728B" w:rsidR="00952D2A" w:rsidRPr="00061D18" w:rsidRDefault="00952D2A" w:rsidP="00952D2A">
      <w:pPr>
        <w:pStyle w:val="Brdtekst"/>
        <w:spacing w:after="0"/>
      </w:pPr>
    </w:p>
    <w:tbl>
      <w:tblPr>
        <w:tblStyle w:val="Tabellrutenett6"/>
        <w:tblW w:w="9351" w:type="dxa"/>
        <w:tblLook w:val="04A0" w:firstRow="1" w:lastRow="0" w:firstColumn="1" w:lastColumn="0" w:noHBand="0" w:noVBand="1"/>
      </w:tblPr>
      <w:tblGrid>
        <w:gridCol w:w="2689"/>
        <w:gridCol w:w="6662"/>
      </w:tblGrid>
      <w:tr w:rsidR="009430BE" w:rsidRPr="009430BE" w14:paraId="1B84F75D" w14:textId="77777777" w:rsidTr="003D7F7E">
        <w:tc>
          <w:tcPr>
            <w:tcW w:w="2689" w:type="dxa"/>
            <w:shd w:val="clear" w:color="auto" w:fill="0D0D0D" w:themeFill="text1" w:themeFillTint="F2"/>
          </w:tcPr>
          <w:p w14:paraId="6850E907" w14:textId="77777777" w:rsidR="009430BE" w:rsidRPr="00061D18" w:rsidRDefault="009430BE" w:rsidP="009430BE">
            <w:pPr>
              <w:spacing w:after="160"/>
              <w:rPr>
                <w:sz w:val="22"/>
                <w:szCs w:val="22"/>
              </w:rPr>
            </w:pPr>
            <w:r w:rsidRPr="00061D18">
              <w:rPr>
                <w:sz w:val="22"/>
                <w:szCs w:val="22"/>
              </w:rPr>
              <w:t>Energimerking av energirelaterte produkter</w:t>
            </w:r>
          </w:p>
        </w:tc>
        <w:tc>
          <w:tcPr>
            <w:tcW w:w="6662" w:type="dxa"/>
            <w:shd w:val="clear" w:color="auto" w:fill="0D0D0D" w:themeFill="text1" w:themeFillTint="F2"/>
          </w:tcPr>
          <w:p w14:paraId="030898B9" w14:textId="08772980" w:rsidR="009430BE" w:rsidRPr="00175216" w:rsidRDefault="00175216" w:rsidP="00175216">
            <w:r w:rsidRPr="00AD0F45">
              <w:t>Energi</w:t>
            </w:r>
            <w:r>
              <w:t>- og konsesjons</w:t>
            </w:r>
            <w:r w:rsidRPr="00AD0F45">
              <w:t xml:space="preserve">avdelingen – </w:t>
            </w:r>
          </w:p>
          <w:p w14:paraId="7BD7A940" w14:textId="77777777" w:rsidR="009430BE" w:rsidRPr="00061D18" w:rsidRDefault="009430BE" w:rsidP="009430BE">
            <w:pPr>
              <w:spacing w:after="160"/>
              <w:rPr>
                <w:sz w:val="22"/>
                <w:szCs w:val="22"/>
              </w:rPr>
            </w:pPr>
            <w:r w:rsidRPr="00061D18">
              <w:rPr>
                <w:sz w:val="22"/>
                <w:szCs w:val="22"/>
              </w:rPr>
              <w:t>seksjon for energibruk og teknologier</w:t>
            </w:r>
          </w:p>
        </w:tc>
      </w:tr>
      <w:tr w:rsidR="009430BE" w:rsidRPr="009430BE" w14:paraId="51F9F2D7" w14:textId="77777777" w:rsidTr="003D7F7E">
        <w:tc>
          <w:tcPr>
            <w:tcW w:w="2689" w:type="dxa"/>
          </w:tcPr>
          <w:p w14:paraId="57125F9C" w14:textId="77777777" w:rsidR="009430BE" w:rsidRPr="00061D18" w:rsidRDefault="009430BE" w:rsidP="009430BE">
            <w:pPr>
              <w:spacing w:after="160"/>
              <w:rPr>
                <w:i/>
                <w:iCs/>
                <w:sz w:val="22"/>
                <w:szCs w:val="22"/>
              </w:rPr>
            </w:pPr>
            <w:r w:rsidRPr="00061D18">
              <w:rPr>
                <w:i/>
                <w:iCs/>
                <w:sz w:val="22"/>
                <w:szCs w:val="22"/>
              </w:rPr>
              <w:t>Tema</w:t>
            </w:r>
          </w:p>
        </w:tc>
        <w:tc>
          <w:tcPr>
            <w:tcW w:w="6662" w:type="dxa"/>
          </w:tcPr>
          <w:p w14:paraId="76EABFAE" w14:textId="77777777" w:rsidR="009430BE" w:rsidRPr="00061D18" w:rsidRDefault="009430BE" w:rsidP="009430BE">
            <w:pPr>
              <w:spacing w:after="160"/>
              <w:rPr>
                <w:sz w:val="22"/>
                <w:szCs w:val="22"/>
              </w:rPr>
            </w:pPr>
            <w:r w:rsidRPr="00061D18">
              <w:rPr>
                <w:sz w:val="22"/>
                <w:szCs w:val="22"/>
              </w:rPr>
              <w:t>Energimerking av energirelaterte produkter hos forhandlere/leverandører.</w:t>
            </w:r>
          </w:p>
          <w:p w14:paraId="73C40EA1" w14:textId="77777777" w:rsidR="009430BE" w:rsidRPr="00061D18" w:rsidRDefault="009430BE" w:rsidP="009430BE">
            <w:pPr>
              <w:spacing w:after="160"/>
              <w:rPr>
                <w:sz w:val="22"/>
                <w:szCs w:val="22"/>
              </w:rPr>
            </w:pPr>
            <w:r w:rsidRPr="00061D18">
              <w:rPr>
                <w:sz w:val="22"/>
                <w:szCs w:val="22"/>
              </w:rPr>
              <w:t xml:space="preserve">Energimerkingen setter forbrukerne i stand til å velge mer energieffektive produkter, og i dette ligger et stort energisparepotensial. </w:t>
            </w:r>
          </w:p>
          <w:p w14:paraId="43723CE9" w14:textId="77777777" w:rsidR="009430BE" w:rsidRPr="00061D18" w:rsidRDefault="009430BE" w:rsidP="009430BE">
            <w:pPr>
              <w:spacing w:after="160"/>
              <w:rPr>
                <w:sz w:val="22"/>
                <w:szCs w:val="22"/>
              </w:rPr>
            </w:pPr>
            <w:r w:rsidRPr="00061D18">
              <w:rPr>
                <w:sz w:val="22"/>
                <w:szCs w:val="22"/>
              </w:rPr>
              <w:t xml:space="preserve">Produktgrupper som vi har valgt ut for kontroll, er de med størst antatt energisparepotensial og salgsvolum samt hvor vår tilsynshistorikk (erfaring) viser at det er sannsynlighet for avvik. </w:t>
            </w:r>
          </w:p>
          <w:p w14:paraId="20CB3F84" w14:textId="77777777" w:rsidR="009430BE" w:rsidRPr="00061D18" w:rsidRDefault="009430BE" w:rsidP="009430BE">
            <w:pPr>
              <w:spacing w:after="160"/>
              <w:rPr>
                <w:sz w:val="22"/>
                <w:szCs w:val="22"/>
              </w:rPr>
            </w:pPr>
            <w:r w:rsidRPr="00061D18">
              <w:rPr>
                <w:sz w:val="22"/>
                <w:szCs w:val="22"/>
              </w:rPr>
              <w:lastRenderedPageBreak/>
              <w:t>Vi vil drive utadrettet kommunikasjonsarbeid for å gjøre regelverket mer kjent blant forbrukere og ansvarlige aktører. En rekke produkter får ny energietikett i 2021, og vi vil i den forbindelse arrangere møter med forhandlere og leverandører, samt kjøre en informasjonskampanje i sosiale medier rettet mot forbrukere.</w:t>
            </w:r>
          </w:p>
          <w:p w14:paraId="17F2A03D" w14:textId="77777777" w:rsidR="009430BE" w:rsidRPr="00061D18" w:rsidRDefault="009430BE" w:rsidP="009430BE">
            <w:pPr>
              <w:spacing w:after="160"/>
              <w:rPr>
                <w:sz w:val="22"/>
                <w:szCs w:val="22"/>
              </w:rPr>
            </w:pPr>
            <w:r w:rsidRPr="00061D18">
              <w:rPr>
                <w:sz w:val="22"/>
                <w:szCs w:val="22"/>
              </w:rPr>
              <w:t>I tillegg til årlig tilsynsplan, vil vi også utarbeide en strategisk tilsynsplan for perioden 2022 - 2025</w:t>
            </w:r>
          </w:p>
        </w:tc>
      </w:tr>
      <w:tr w:rsidR="009430BE" w:rsidRPr="009430BE" w14:paraId="25CB5CE2" w14:textId="77777777" w:rsidTr="003D7F7E">
        <w:tc>
          <w:tcPr>
            <w:tcW w:w="2689" w:type="dxa"/>
          </w:tcPr>
          <w:p w14:paraId="7CE60229" w14:textId="77DD2AFC" w:rsidR="009430BE" w:rsidRPr="00061D18" w:rsidRDefault="005D1925" w:rsidP="009430BE">
            <w:pPr>
              <w:spacing w:after="160"/>
              <w:rPr>
                <w:i/>
                <w:iCs/>
                <w:sz w:val="22"/>
                <w:szCs w:val="22"/>
              </w:rPr>
            </w:pPr>
            <w:r>
              <w:rPr>
                <w:i/>
                <w:sz w:val="22"/>
                <w:szCs w:val="22"/>
              </w:rPr>
              <w:lastRenderedPageBreak/>
              <w:t>Tilsynso</w:t>
            </w:r>
            <w:r w:rsidRPr="00145FCF">
              <w:rPr>
                <w:i/>
                <w:sz w:val="22"/>
                <w:szCs w:val="22"/>
              </w:rPr>
              <w:t>bjekter</w:t>
            </w:r>
          </w:p>
        </w:tc>
        <w:tc>
          <w:tcPr>
            <w:tcW w:w="6662" w:type="dxa"/>
          </w:tcPr>
          <w:p w14:paraId="1EEDD9DB" w14:textId="77777777" w:rsidR="009430BE" w:rsidRPr="00061D18" w:rsidRDefault="009430BE" w:rsidP="009430BE">
            <w:pPr>
              <w:spacing w:after="160"/>
              <w:rPr>
                <w:sz w:val="22"/>
                <w:szCs w:val="22"/>
              </w:rPr>
            </w:pPr>
            <w:r w:rsidRPr="00061D18">
              <w:rPr>
                <w:sz w:val="22"/>
                <w:szCs w:val="22"/>
              </w:rPr>
              <w:t>Aktører som selger energirelaterte produkter i Norge, hvor mange forbrukere nås.</w:t>
            </w:r>
          </w:p>
        </w:tc>
      </w:tr>
      <w:tr w:rsidR="009430BE" w:rsidRPr="009430BE" w14:paraId="103BED7C" w14:textId="77777777" w:rsidTr="003D7F7E">
        <w:tc>
          <w:tcPr>
            <w:tcW w:w="2689" w:type="dxa"/>
          </w:tcPr>
          <w:p w14:paraId="05B71808" w14:textId="77777777" w:rsidR="009430BE" w:rsidRPr="00061D18" w:rsidRDefault="009430BE" w:rsidP="009430BE">
            <w:pPr>
              <w:spacing w:after="160"/>
              <w:rPr>
                <w:rFonts w:ascii="Times New Roman" w:hAnsi="Times New Roman" w:cs="Times New Roman"/>
                <w:i/>
                <w:iCs/>
              </w:rPr>
            </w:pPr>
            <w:r w:rsidRPr="00061D18">
              <w:rPr>
                <w:i/>
                <w:iCs/>
                <w:sz w:val="22"/>
                <w:szCs w:val="22"/>
              </w:rPr>
              <w:t>Kontrollmetoder</w:t>
            </w:r>
          </w:p>
        </w:tc>
        <w:tc>
          <w:tcPr>
            <w:tcW w:w="6662" w:type="dxa"/>
          </w:tcPr>
          <w:p w14:paraId="5C219AC9" w14:textId="77777777" w:rsidR="009430BE" w:rsidRPr="009430BE" w:rsidRDefault="009430BE" w:rsidP="009430BE">
            <w:pPr>
              <w:spacing w:after="160"/>
              <w:rPr>
                <w:rFonts w:ascii="Times New Roman" w:hAnsi="Times New Roman" w:cs="Times New Roman"/>
                <w:highlight w:val="yellow"/>
              </w:rPr>
            </w:pPr>
            <w:r w:rsidRPr="00061D18">
              <w:rPr>
                <w:sz w:val="22"/>
                <w:szCs w:val="22"/>
              </w:rPr>
              <w:t>Inspeksjoner</w:t>
            </w:r>
            <w:r w:rsidRPr="009430BE">
              <w:rPr>
                <w:rFonts w:ascii="Times New Roman" w:hAnsi="Times New Roman" w:cs="Times New Roman"/>
              </w:rPr>
              <w:t>/butikkontroller, kontroll med nettforhandlere og kontroll med reklamemateriale.</w:t>
            </w:r>
          </w:p>
        </w:tc>
      </w:tr>
    </w:tbl>
    <w:p w14:paraId="43393088" w14:textId="77777777" w:rsidR="00EE3FA9" w:rsidRDefault="00EE3FA9" w:rsidP="00952D2A">
      <w:pPr>
        <w:pStyle w:val="Brdtekst"/>
        <w:spacing w:after="0"/>
        <w:rPr>
          <w:u w:val="single"/>
        </w:rPr>
      </w:pPr>
    </w:p>
    <w:tbl>
      <w:tblPr>
        <w:tblStyle w:val="Tabellrutenett7"/>
        <w:tblW w:w="9351" w:type="dxa"/>
        <w:tblLook w:val="04A0" w:firstRow="1" w:lastRow="0" w:firstColumn="1" w:lastColumn="0" w:noHBand="0" w:noVBand="1"/>
      </w:tblPr>
      <w:tblGrid>
        <w:gridCol w:w="2689"/>
        <w:gridCol w:w="6662"/>
      </w:tblGrid>
      <w:tr w:rsidR="00AD1924" w:rsidRPr="00AD1924" w14:paraId="586F0183" w14:textId="77777777" w:rsidTr="003D7F7E">
        <w:tc>
          <w:tcPr>
            <w:tcW w:w="2689" w:type="dxa"/>
            <w:shd w:val="clear" w:color="auto" w:fill="0D0D0D" w:themeFill="text1" w:themeFillTint="F2"/>
          </w:tcPr>
          <w:p w14:paraId="6226C4DE" w14:textId="77777777" w:rsidR="00AD1924" w:rsidRPr="00F40308" w:rsidRDefault="00AD1924" w:rsidP="00AD1924">
            <w:pPr>
              <w:spacing w:after="160"/>
              <w:rPr>
                <w:rFonts w:ascii="Times New Roman" w:hAnsi="Times New Roman" w:cs="Times New Roman"/>
                <w:sz w:val="22"/>
                <w:szCs w:val="22"/>
              </w:rPr>
            </w:pPr>
            <w:r w:rsidRPr="00F40308">
              <w:rPr>
                <w:rFonts w:ascii="Times New Roman" w:hAnsi="Times New Roman" w:cs="Times New Roman"/>
                <w:sz w:val="22"/>
                <w:szCs w:val="22"/>
              </w:rPr>
              <w:t>Økodesign av energirelaterte produkter</w:t>
            </w:r>
          </w:p>
        </w:tc>
        <w:tc>
          <w:tcPr>
            <w:tcW w:w="6662" w:type="dxa"/>
            <w:shd w:val="clear" w:color="auto" w:fill="0D0D0D" w:themeFill="text1" w:themeFillTint="F2"/>
          </w:tcPr>
          <w:p w14:paraId="045B6765" w14:textId="387A1DE0" w:rsidR="00AD1924" w:rsidRPr="00F40308" w:rsidRDefault="00AD1924" w:rsidP="00AD1924">
            <w:pPr>
              <w:spacing w:after="160"/>
              <w:rPr>
                <w:rFonts w:ascii="Times New Roman" w:hAnsi="Times New Roman" w:cs="Times New Roman"/>
                <w:sz w:val="22"/>
                <w:szCs w:val="22"/>
              </w:rPr>
            </w:pPr>
            <w:r w:rsidRPr="00F40308">
              <w:rPr>
                <w:rFonts w:ascii="Times New Roman" w:hAnsi="Times New Roman" w:cs="Times New Roman"/>
                <w:sz w:val="22"/>
                <w:szCs w:val="22"/>
              </w:rPr>
              <w:t>Energi</w:t>
            </w:r>
            <w:r w:rsidR="00F40308">
              <w:rPr>
                <w:rFonts w:ascii="Times New Roman" w:hAnsi="Times New Roman" w:cs="Times New Roman"/>
                <w:sz w:val="22"/>
                <w:szCs w:val="22"/>
              </w:rPr>
              <w:t>- og konsesjons</w:t>
            </w:r>
            <w:r w:rsidRPr="00F40308">
              <w:rPr>
                <w:rFonts w:ascii="Times New Roman" w:hAnsi="Times New Roman" w:cs="Times New Roman"/>
                <w:sz w:val="22"/>
                <w:szCs w:val="22"/>
              </w:rPr>
              <w:t>avdelingen –</w:t>
            </w:r>
          </w:p>
          <w:p w14:paraId="419A5300" w14:textId="77777777" w:rsidR="00AD1924" w:rsidRPr="00F40308" w:rsidRDefault="00AD1924" w:rsidP="00AD1924">
            <w:pPr>
              <w:spacing w:after="160"/>
              <w:rPr>
                <w:rFonts w:ascii="Times New Roman" w:hAnsi="Times New Roman" w:cs="Times New Roman"/>
                <w:sz w:val="22"/>
                <w:szCs w:val="22"/>
              </w:rPr>
            </w:pPr>
            <w:r w:rsidRPr="00F40308">
              <w:rPr>
                <w:rFonts w:ascii="Times New Roman" w:hAnsi="Times New Roman" w:cs="Times New Roman"/>
                <w:sz w:val="22"/>
                <w:szCs w:val="22"/>
              </w:rPr>
              <w:t>seksjon for energibruk og teknologier</w:t>
            </w:r>
          </w:p>
        </w:tc>
      </w:tr>
      <w:tr w:rsidR="00AD1924" w:rsidRPr="00AD1924" w14:paraId="69811792" w14:textId="77777777" w:rsidTr="003D7F7E">
        <w:trPr>
          <w:trHeight w:val="3720"/>
        </w:trPr>
        <w:tc>
          <w:tcPr>
            <w:tcW w:w="2689" w:type="dxa"/>
          </w:tcPr>
          <w:p w14:paraId="3599E89D" w14:textId="77777777" w:rsidR="00AD1924" w:rsidRPr="00F40308" w:rsidRDefault="00AD1924" w:rsidP="00AD1924">
            <w:pPr>
              <w:spacing w:after="160"/>
              <w:rPr>
                <w:rFonts w:ascii="Times New Roman" w:hAnsi="Times New Roman" w:cs="Times New Roman"/>
                <w:i/>
                <w:sz w:val="22"/>
                <w:szCs w:val="22"/>
              </w:rPr>
            </w:pPr>
            <w:r w:rsidRPr="00F40308">
              <w:rPr>
                <w:rFonts w:ascii="Times New Roman" w:hAnsi="Times New Roman" w:cs="Times New Roman"/>
                <w:i/>
                <w:sz w:val="22"/>
                <w:szCs w:val="22"/>
              </w:rPr>
              <w:t>Tema</w:t>
            </w:r>
          </w:p>
        </w:tc>
        <w:tc>
          <w:tcPr>
            <w:tcW w:w="6662" w:type="dxa"/>
          </w:tcPr>
          <w:p w14:paraId="6C7DA9B2" w14:textId="77777777" w:rsidR="00AD1924" w:rsidRPr="00F40308" w:rsidRDefault="00AD1924" w:rsidP="00AD1924">
            <w:pPr>
              <w:spacing w:after="160"/>
              <w:rPr>
                <w:rFonts w:ascii="Times New Roman" w:hAnsi="Times New Roman" w:cs="Times New Roman"/>
                <w:sz w:val="22"/>
                <w:szCs w:val="22"/>
              </w:rPr>
            </w:pPr>
            <w:r w:rsidRPr="00F40308">
              <w:rPr>
                <w:rFonts w:ascii="Times New Roman" w:hAnsi="Times New Roman" w:cs="Times New Roman"/>
                <w:sz w:val="22"/>
                <w:szCs w:val="22"/>
              </w:rPr>
              <w:t>Økodesignkrav for utvalgte produktgrupper.</w:t>
            </w:r>
          </w:p>
          <w:p w14:paraId="6652119E" w14:textId="77777777" w:rsidR="00AD1924" w:rsidRPr="00F40308" w:rsidRDefault="00AD1924" w:rsidP="00AD1924">
            <w:pPr>
              <w:spacing w:after="160"/>
              <w:rPr>
                <w:rFonts w:ascii="Times New Roman" w:hAnsi="Times New Roman" w:cs="Times New Roman"/>
                <w:sz w:val="22"/>
                <w:szCs w:val="22"/>
              </w:rPr>
            </w:pPr>
            <w:r w:rsidRPr="00F40308">
              <w:rPr>
                <w:rFonts w:ascii="Times New Roman" w:hAnsi="Times New Roman" w:cs="Times New Roman"/>
                <w:sz w:val="22"/>
                <w:szCs w:val="22"/>
              </w:rPr>
              <w:t xml:space="preserve">Produkter uten gyldig samsvarserklæring og teknisk dokumentasjon for utført samsvarsvurdering kan ikke antas å være i samsvar med de relevante produktspesifikke regler. Regelverket bidrar til energieffektivisering og lik konkurranse på det indre marked. </w:t>
            </w:r>
          </w:p>
          <w:p w14:paraId="050CF887" w14:textId="77777777" w:rsidR="00AD1924" w:rsidRPr="00F40308" w:rsidRDefault="00AD1924" w:rsidP="00AD1924">
            <w:pPr>
              <w:spacing w:after="160"/>
              <w:rPr>
                <w:rFonts w:ascii="Times New Roman" w:hAnsi="Times New Roman" w:cs="Times New Roman"/>
                <w:sz w:val="22"/>
                <w:szCs w:val="22"/>
              </w:rPr>
            </w:pPr>
            <w:r w:rsidRPr="00F40308">
              <w:rPr>
                <w:rFonts w:ascii="Times New Roman" w:hAnsi="Times New Roman" w:cs="Times New Roman"/>
                <w:sz w:val="22"/>
                <w:szCs w:val="22"/>
              </w:rPr>
              <w:t xml:space="preserve">Produktgrupper som vi har valgt ut for kontroll, er de med størst antatt energisparepotensial og salgsvolum samt hvor tilsynshistorikk (erfaring) viser at det er sannsynlighet for avvik. I tillegg vil vi sette av kapasitet til å følge opp tips om regelbrudd. </w:t>
            </w:r>
          </w:p>
          <w:p w14:paraId="6A367F0F" w14:textId="77777777" w:rsidR="00AD1924" w:rsidRPr="00F40308" w:rsidRDefault="00AD1924" w:rsidP="00AD1924">
            <w:pPr>
              <w:spacing w:after="160"/>
              <w:rPr>
                <w:rFonts w:ascii="Times New Roman" w:hAnsi="Times New Roman" w:cs="Times New Roman"/>
                <w:sz w:val="22"/>
                <w:szCs w:val="22"/>
              </w:rPr>
            </w:pPr>
            <w:r w:rsidRPr="00F40308">
              <w:rPr>
                <w:rFonts w:ascii="Times New Roman" w:hAnsi="Times New Roman" w:cs="Times New Roman"/>
                <w:sz w:val="22"/>
                <w:szCs w:val="22"/>
              </w:rPr>
              <w:t xml:space="preserve">Vi vil drive utadrettet kommunikasjonsarbeid for å gjøre regelverket mer kjent blant ansvarlige aktører, blant annet gjennom informasjonsmøter og media. </w:t>
            </w:r>
          </w:p>
          <w:p w14:paraId="0FCDE970" w14:textId="77777777" w:rsidR="00AD1924" w:rsidRPr="00F40308" w:rsidRDefault="00AD1924" w:rsidP="00AD1924">
            <w:pPr>
              <w:spacing w:after="160"/>
              <w:rPr>
                <w:rFonts w:ascii="Times New Roman" w:hAnsi="Times New Roman" w:cs="Times New Roman"/>
                <w:sz w:val="22"/>
                <w:szCs w:val="22"/>
              </w:rPr>
            </w:pPr>
            <w:r w:rsidRPr="00F40308">
              <w:rPr>
                <w:rFonts w:ascii="Times New Roman" w:hAnsi="Times New Roman" w:cs="Times New Roman"/>
                <w:sz w:val="22"/>
                <w:szCs w:val="22"/>
              </w:rPr>
              <w:t>I tillegg til årlig tilsynsplan, vil vi også utarbeide en strategisk tilsynsplan for perioden 2022 - 2025.</w:t>
            </w:r>
          </w:p>
        </w:tc>
      </w:tr>
      <w:tr w:rsidR="00AD1924" w:rsidRPr="00AD1924" w14:paraId="6F119777" w14:textId="77777777" w:rsidTr="003D7F7E">
        <w:tc>
          <w:tcPr>
            <w:tcW w:w="2689" w:type="dxa"/>
          </w:tcPr>
          <w:p w14:paraId="18722A7C" w14:textId="16308D10" w:rsidR="00AD1924" w:rsidRPr="00F40308" w:rsidRDefault="005D1925" w:rsidP="00AD1924">
            <w:pPr>
              <w:spacing w:after="160"/>
              <w:rPr>
                <w:rFonts w:ascii="Times New Roman" w:hAnsi="Times New Roman" w:cs="Times New Roman"/>
                <w:i/>
                <w:sz w:val="22"/>
                <w:szCs w:val="22"/>
              </w:rPr>
            </w:pPr>
            <w:r>
              <w:rPr>
                <w:i/>
                <w:sz w:val="22"/>
                <w:szCs w:val="22"/>
              </w:rPr>
              <w:t>Tilsynso</w:t>
            </w:r>
            <w:r w:rsidRPr="00145FCF">
              <w:rPr>
                <w:i/>
                <w:sz w:val="22"/>
                <w:szCs w:val="22"/>
              </w:rPr>
              <w:t>bjekter</w:t>
            </w:r>
          </w:p>
        </w:tc>
        <w:tc>
          <w:tcPr>
            <w:tcW w:w="6662" w:type="dxa"/>
          </w:tcPr>
          <w:p w14:paraId="6ED4A6D8" w14:textId="77777777" w:rsidR="00AD1924" w:rsidRPr="00F40308" w:rsidRDefault="00AD1924" w:rsidP="00AD1924">
            <w:pPr>
              <w:spacing w:after="160"/>
              <w:rPr>
                <w:rFonts w:ascii="Times New Roman" w:hAnsi="Times New Roman" w:cs="Times New Roman"/>
                <w:sz w:val="22"/>
                <w:szCs w:val="22"/>
              </w:rPr>
            </w:pPr>
            <w:r w:rsidRPr="00F40308">
              <w:rPr>
                <w:rFonts w:ascii="Times New Roman" w:hAnsi="Times New Roman" w:cs="Times New Roman"/>
                <w:sz w:val="22"/>
                <w:szCs w:val="22"/>
              </w:rPr>
              <w:t xml:space="preserve">Produsenter og importører av energirelaterte produkter </w:t>
            </w:r>
          </w:p>
        </w:tc>
      </w:tr>
      <w:tr w:rsidR="00AD1924" w:rsidRPr="00AD1924" w14:paraId="0CD63173" w14:textId="77777777" w:rsidTr="003D7F7E">
        <w:tc>
          <w:tcPr>
            <w:tcW w:w="2689" w:type="dxa"/>
          </w:tcPr>
          <w:p w14:paraId="10EC98C2" w14:textId="77777777" w:rsidR="00AD1924" w:rsidRPr="00F40308" w:rsidRDefault="00AD1924" w:rsidP="00AD1924">
            <w:pPr>
              <w:spacing w:after="160"/>
              <w:rPr>
                <w:rFonts w:ascii="Times New Roman" w:hAnsi="Times New Roman" w:cs="Times New Roman"/>
                <w:i/>
                <w:sz w:val="22"/>
                <w:szCs w:val="22"/>
              </w:rPr>
            </w:pPr>
            <w:r w:rsidRPr="00F40308">
              <w:rPr>
                <w:rFonts w:ascii="Times New Roman" w:hAnsi="Times New Roman" w:cs="Times New Roman"/>
                <w:i/>
                <w:sz w:val="22"/>
                <w:szCs w:val="22"/>
              </w:rPr>
              <w:t>Kontrollmetoder</w:t>
            </w:r>
          </w:p>
        </w:tc>
        <w:tc>
          <w:tcPr>
            <w:tcW w:w="6662" w:type="dxa"/>
          </w:tcPr>
          <w:p w14:paraId="5FAD0CF0" w14:textId="77777777" w:rsidR="00AD1924" w:rsidRPr="00F40308" w:rsidRDefault="00AD1924" w:rsidP="00AD1924">
            <w:pPr>
              <w:spacing w:after="160"/>
              <w:rPr>
                <w:rFonts w:ascii="Times New Roman" w:hAnsi="Times New Roman" w:cs="Times New Roman"/>
                <w:sz w:val="22"/>
                <w:szCs w:val="22"/>
              </w:rPr>
            </w:pPr>
            <w:r w:rsidRPr="00F40308">
              <w:rPr>
                <w:rFonts w:ascii="Times New Roman" w:hAnsi="Times New Roman" w:cs="Times New Roman"/>
                <w:sz w:val="22"/>
                <w:szCs w:val="22"/>
              </w:rPr>
              <w:t>Dokumentkontroll (samsvarserklæring og teknisk dokumentasjon for samsvarsvurdering) og laboratorietesting</w:t>
            </w:r>
          </w:p>
        </w:tc>
      </w:tr>
    </w:tbl>
    <w:p w14:paraId="0928BCE2" w14:textId="77777777" w:rsidR="00EE3FA9" w:rsidRDefault="00EE3FA9" w:rsidP="00952D2A">
      <w:pPr>
        <w:pStyle w:val="Brdtekst"/>
        <w:spacing w:after="0"/>
        <w:rPr>
          <w:u w:val="single"/>
        </w:rPr>
      </w:pPr>
    </w:p>
    <w:p w14:paraId="5C09D49E" w14:textId="77777777" w:rsidR="00952D2A" w:rsidRDefault="00952D2A" w:rsidP="00952D2A">
      <w:pPr>
        <w:pStyle w:val="Brdtekst"/>
        <w:rPr>
          <w:rFonts w:ascii="Times New Roman" w:hAnsi="Times New Roman" w:cs="Times New Roman"/>
        </w:rPr>
      </w:pPr>
    </w:p>
    <w:p w14:paraId="387864F2" w14:textId="77777777" w:rsidR="00952D2A" w:rsidRDefault="00952D2A" w:rsidP="00952D2A">
      <w:pPr>
        <w:pStyle w:val="Brdtekst"/>
        <w:rPr>
          <w:rFonts w:ascii="Times New Roman" w:hAnsi="Times New Roman" w:cs="Times New Roman"/>
        </w:rPr>
      </w:pPr>
    </w:p>
    <w:p w14:paraId="007EA95A" w14:textId="77777777" w:rsidR="00AD0F45" w:rsidRPr="00441E78" w:rsidRDefault="00AD0F45" w:rsidP="00B02BF8">
      <w:pPr>
        <w:pStyle w:val="Brdtekst"/>
        <w:rPr>
          <w:rFonts w:ascii="Times New Roman" w:hAnsi="Times New Roman" w:cs="Times New Roman"/>
        </w:rPr>
      </w:pPr>
    </w:p>
    <w:sectPr w:rsidR="00AD0F45" w:rsidRPr="00441E78" w:rsidSect="006A3D9C">
      <w:headerReference w:type="default" r:id="rId11"/>
      <w:footerReference w:type="default" r:id="rId12"/>
      <w:headerReference w:type="first" r:id="rId13"/>
      <w:footerReference w:type="first" r:id="rId14"/>
      <w:pgSz w:w="11907" w:h="16840" w:code="9"/>
      <w:pgMar w:top="1701" w:right="1134" w:bottom="1418" w:left="1418"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A7257" w14:textId="77777777" w:rsidR="00343B20" w:rsidRDefault="00343B20">
      <w:r>
        <w:separator/>
      </w:r>
    </w:p>
  </w:endnote>
  <w:endnote w:type="continuationSeparator" w:id="0">
    <w:p w14:paraId="1BFB8E2F" w14:textId="77777777" w:rsidR="00343B20" w:rsidRDefault="00343B20">
      <w:r>
        <w:continuationSeparator/>
      </w:r>
    </w:p>
  </w:endnote>
  <w:endnote w:type="continuationNotice" w:id="1">
    <w:p w14:paraId="05DCA8BB" w14:textId="77777777" w:rsidR="00343B20" w:rsidRDefault="00343B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5593B" w14:textId="77777777" w:rsidR="002B2D2D" w:rsidRDefault="002B2D2D" w:rsidP="00591C94">
    <w:pPr>
      <w:pStyle w:val="Bunntekst"/>
    </w:pPr>
  </w:p>
  <w:tbl>
    <w:tblPr>
      <w:tblStyle w:val="Tabellrutenett"/>
      <w:tblW w:w="9209" w:type="dxa"/>
      <w:jc w:val="center"/>
      <w:tblLayout w:type="fixed"/>
      <w:tblCellMar>
        <w:left w:w="57" w:type="dxa"/>
        <w:right w:w="57" w:type="dxa"/>
      </w:tblCellMar>
      <w:tblLook w:val="04A0" w:firstRow="1" w:lastRow="0" w:firstColumn="1" w:lastColumn="0" w:noHBand="0" w:noVBand="1"/>
    </w:tblPr>
    <w:tblGrid>
      <w:gridCol w:w="2360"/>
      <w:gridCol w:w="1184"/>
      <w:gridCol w:w="1271"/>
      <w:gridCol w:w="1559"/>
      <w:gridCol w:w="1701"/>
      <w:gridCol w:w="1134"/>
    </w:tblGrid>
    <w:tr w:rsidR="002B2D2D" w14:paraId="0FF55943" w14:textId="77777777" w:rsidTr="00EC7F07">
      <w:trPr>
        <w:jc w:val="center"/>
      </w:trPr>
      <w:tc>
        <w:tcPr>
          <w:tcW w:w="2360" w:type="dxa"/>
        </w:tcPr>
        <w:p w14:paraId="0FF5593C" w14:textId="77777777" w:rsidR="002B2D2D" w:rsidRPr="009534AE" w:rsidRDefault="002B2D2D" w:rsidP="00C475EE">
          <w:pPr>
            <w:pStyle w:val="Brdtekst"/>
            <w:spacing w:after="0"/>
            <w:rPr>
              <w:b/>
              <w:color w:val="808080" w:themeColor="background1" w:themeShade="80"/>
              <w:sz w:val="16"/>
            </w:rPr>
          </w:pPr>
          <w:r>
            <w:rPr>
              <w:b/>
              <w:color w:val="808080" w:themeColor="background1" w:themeShade="80"/>
              <w:sz w:val="16"/>
            </w:rPr>
            <w:t>Siste gyldige versjon:</w:t>
          </w:r>
        </w:p>
      </w:tc>
      <w:tc>
        <w:tcPr>
          <w:tcW w:w="1184" w:type="dxa"/>
        </w:tcPr>
        <w:p w14:paraId="0FF5593D" w14:textId="77777777" w:rsidR="002B2D2D" w:rsidRPr="009534AE" w:rsidRDefault="002B2D2D" w:rsidP="00C475EE">
          <w:pPr>
            <w:pStyle w:val="Brdtekst"/>
            <w:spacing w:after="0"/>
            <w:rPr>
              <w:b/>
              <w:color w:val="808080" w:themeColor="background1" w:themeShade="80"/>
              <w:sz w:val="16"/>
            </w:rPr>
          </w:pPr>
          <w:proofErr w:type="spellStart"/>
          <w:r>
            <w:rPr>
              <w:b/>
              <w:color w:val="808080" w:themeColor="background1" w:themeShade="80"/>
              <w:sz w:val="16"/>
            </w:rPr>
            <w:t>Prosjektnr</w:t>
          </w:r>
          <w:proofErr w:type="spellEnd"/>
          <w:r>
            <w:rPr>
              <w:b/>
              <w:color w:val="808080" w:themeColor="background1" w:themeShade="80"/>
              <w:sz w:val="16"/>
            </w:rPr>
            <w:t>:</w:t>
          </w:r>
        </w:p>
      </w:tc>
      <w:tc>
        <w:tcPr>
          <w:tcW w:w="1271" w:type="dxa"/>
        </w:tcPr>
        <w:p w14:paraId="0FF5593E" w14:textId="77777777" w:rsidR="002B2D2D" w:rsidRPr="0081780D" w:rsidRDefault="002B2D2D" w:rsidP="00C475EE">
          <w:pPr>
            <w:pStyle w:val="Brdtekst"/>
            <w:spacing w:after="0"/>
            <w:rPr>
              <w:b/>
              <w:color w:val="808080" w:themeColor="background1" w:themeShade="80"/>
              <w:sz w:val="16"/>
            </w:rPr>
          </w:pPr>
          <w:proofErr w:type="spellStart"/>
          <w:r>
            <w:rPr>
              <w:b/>
              <w:color w:val="808080" w:themeColor="background1" w:themeShade="80"/>
              <w:sz w:val="16"/>
            </w:rPr>
            <w:t>Styringssaknr</w:t>
          </w:r>
          <w:proofErr w:type="spellEnd"/>
          <w:r>
            <w:rPr>
              <w:b/>
              <w:color w:val="808080" w:themeColor="background1" w:themeShade="80"/>
              <w:sz w:val="16"/>
            </w:rPr>
            <w:t>:</w:t>
          </w:r>
        </w:p>
      </w:tc>
      <w:tc>
        <w:tcPr>
          <w:tcW w:w="1559" w:type="dxa"/>
        </w:tcPr>
        <w:p w14:paraId="0FF5593F" w14:textId="77777777" w:rsidR="002B2D2D" w:rsidRPr="0081780D" w:rsidRDefault="002B2D2D" w:rsidP="00C475EE">
          <w:pPr>
            <w:pStyle w:val="Brdtekst"/>
            <w:spacing w:after="0"/>
            <w:rPr>
              <w:b/>
              <w:color w:val="808080" w:themeColor="background1" w:themeShade="80"/>
              <w:sz w:val="16"/>
            </w:rPr>
          </w:pPr>
          <w:proofErr w:type="spellStart"/>
          <w:r>
            <w:rPr>
              <w:b/>
              <w:color w:val="808080" w:themeColor="background1" w:themeShade="80"/>
              <w:sz w:val="16"/>
            </w:rPr>
            <w:t>Styringsdoknr</w:t>
          </w:r>
          <w:proofErr w:type="spellEnd"/>
          <w:r>
            <w:rPr>
              <w:b/>
              <w:color w:val="808080" w:themeColor="background1" w:themeShade="80"/>
              <w:sz w:val="16"/>
            </w:rPr>
            <w:t>:</w:t>
          </w:r>
        </w:p>
      </w:tc>
      <w:tc>
        <w:tcPr>
          <w:tcW w:w="1701" w:type="dxa"/>
        </w:tcPr>
        <w:p w14:paraId="0FF55940" w14:textId="77777777" w:rsidR="002B2D2D" w:rsidRPr="0081780D" w:rsidRDefault="002B2D2D" w:rsidP="00C475EE">
          <w:pPr>
            <w:pStyle w:val="Brdtekst"/>
            <w:spacing w:after="0"/>
            <w:rPr>
              <w:b/>
              <w:color w:val="808080" w:themeColor="background1" w:themeShade="80"/>
              <w:sz w:val="16"/>
            </w:rPr>
          </w:pPr>
          <w:r>
            <w:rPr>
              <w:b/>
              <w:color w:val="808080" w:themeColor="background1" w:themeShade="80"/>
              <w:sz w:val="16"/>
            </w:rPr>
            <w:t>Type mal:</w:t>
          </w:r>
        </w:p>
      </w:tc>
      <w:tc>
        <w:tcPr>
          <w:tcW w:w="1134" w:type="dxa"/>
          <w:vMerge w:val="restart"/>
        </w:tcPr>
        <w:sdt>
          <w:sdtPr>
            <w:rPr>
              <w:sz w:val="20"/>
              <w:szCs w:val="20"/>
            </w:rPr>
            <w:id w:val="1639612335"/>
            <w:docPartObj>
              <w:docPartGallery w:val="Page Numbers (Bottom of Page)"/>
              <w:docPartUnique/>
            </w:docPartObj>
          </w:sdtPr>
          <w:sdtEndPr/>
          <w:sdtContent>
            <w:sdt>
              <w:sdtPr>
                <w:rPr>
                  <w:sz w:val="20"/>
                  <w:szCs w:val="20"/>
                </w:rPr>
                <w:id w:val="-1400595811"/>
                <w:docPartObj>
                  <w:docPartGallery w:val="Page Numbers (Top of Page)"/>
                  <w:docPartUnique/>
                </w:docPartObj>
              </w:sdtPr>
              <w:sdtEndPr/>
              <w:sdtContent>
                <w:p w14:paraId="0FF55941" w14:textId="77777777" w:rsidR="002B2D2D" w:rsidRDefault="002B2D2D" w:rsidP="00C475EE">
                  <w:pPr>
                    <w:pStyle w:val="Bunntekst"/>
                    <w:jc w:val="center"/>
                    <w:rPr>
                      <w:sz w:val="20"/>
                      <w:szCs w:val="20"/>
                    </w:rPr>
                  </w:pPr>
                </w:p>
                <w:p w14:paraId="0FF55942" w14:textId="77777777" w:rsidR="002B2D2D" w:rsidRPr="0056695C" w:rsidRDefault="002B2D2D" w:rsidP="00C475EE">
                  <w:pPr>
                    <w:pStyle w:val="Bunntekst"/>
                    <w:ind w:left="200" w:hanging="200"/>
                    <w:jc w:val="center"/>
                    <w:rPr>
                      <w:b/>
                      <w:sz w:val="16"/>
                    </w:rPr>
                  </w:pPr>
                  <w:r w:rsidRPr="00A56A72">
                    <w:rPr>
                      <w:sz w:val="18"/>
                      <w:szCs w:val="20"/>
                    </w:rPr>
                    <w:t xml:space="preserve">Side </w:t>
                  </w:r>
                  <w:r w:rsidRPr="00A56A72">
                    <w:rPr>
                      <w:b/>
                      <w:bCs/>
                      <w:sz w:val="18"/>
                      <w:szCs w:val="20"/>
                    </w:rPr>
                    <w:fldChar w:fldCharType="begin"/>
                  </w:r>
                  <w:r w:rsidRPr="00A56A72">
                    <w:rPr>
                      <w:b/>
                      <w:bCs/>
                      <w:sz w:val="18"/>
                      <w:szCs w:val="20"/>
                    </w:rPr>
                    <w:instrText>PAGE</w:instrText>
                  </w:r>
                  <w:r w:rsidRPr="00A56A72">
                    <w:rPr>
                      <w:b/>
                      <w:bCs/>
                      <w:sz w:val="18"/>
                      <w:szCs w:val="20"/>
                    </w:rPr>
                    <w:fldChar w:fldCharType="separate"/>
                  </w:r>
                  <w:r w:rsidR="00000B0B">
                    <w:rPr>
                      <w:b/>
                      <w:bCs/>
                      <w:noProof/>
                      <w:sz w:val="18"/>
                      <w:szCs w:val="20"/>
                    </w:rPr>
                    <w:t>11</w:t>
                  </w:r>
                  <w:r w:rsidRPr="00A56A72">
                    <w:rPr>
                      <w:b/>
                      <w:bCs/>
                      <w:sz w:val="18"/>
                      <w:szCs w:val="20"/>
                    </w:rPr>
                    <w:fldChar w:fldCharType="end"/>
                  </w:r>
                  <w:r w:rsidRPr="00A56A72">
                    <w:rPr>
                      <w:sz w:val="18"/>
                      <w:szCs w:val="20"/>
                    </w:rPr>
                    <w:t xml:space="preserve"> av </w:t>
                  </w:r>
                  <w:r w:rsidRPr="00A56A72">
                    <w:rPr>
                      <w:b/>
                      <w:bCs/>
                      <w:sz w:val="18"/>
                      <w:szCs w:val="20"/>
                    </w:rPr>
                    <w:fldChar w:fldCharType="begin"/>
                  </w:r>
                  <w:r w:rsidRPr="00A56A72">
                    <w:rPr>
                      <w:b/>
                      <w:bCs/>
                      <w:sz w:val="18"/>
                      <w:szCs w:val="20"/>
                    </w:rPr>
                    <w:instrText>NUMPAGES</w:instrText>
                  </w:r>
                  <w:r w:rsidRPr="00A56A72">
                    <w:rPr>
                      <w:b/>
                      <w:bCs/>
                      <w:sz w:val="18"/>
                      <w:szCs w:val="20"/>
                    </w:rPr>
                    <w:fldChar w:fldCharType="separate"/>
                  </w:r>
                  <w:r w:rsidR="00000B0B">
                    <w:rPr>
                      <w:b/>
                      <w:bCs/>
                      <w:noProof/>
                      <w:sz w:val="18"/>
                      <w:szCs w:val="20"/>
                    </w:rPr>
                    <w:t>11</w:t>
                  </w:r>
                  <w:r w:rsidRPr="00A56A72">
                    <w:rPr>
                      <w:b/>
                      <w:bCs/>
                      <w:sz w:val="18"/>
                      <w:szCs w:val="20"/>
                    </w:rPr>
                    <w:fldChar w:fldCharType="end"/>
                  </w:r>
                </w:p>
              </w:sdtContent>
            </w:sdt>
          </w:sdtContent>
        </w:sdt>
      </w:tc>
    </w:tr>
    <w:tr w:rsidR="002B2D2D" w:rsidRPr="00441E78" w14:paraId="0FF5594A" w14:textId="77777777" w:rsidTr="00EC7F07">
      <w:trPr>
        <w:jc w:val="center"/>
      </w:trPr>
      <w:tc>
        <w:tcPr>
          <w:tcW w:w="2360" w:type="dxa"/>
        </w:tcPr>
        <w:p w14:paraId="0FF55944" w14:textId="77777777" w:rsidR="002B2D2D" w:rsidRPr="00441E78" w:rsidRDefault="002B2D2D" w:rsidP="00746468">
          <w:pPr>
            <w:pStyle w:val="Brdtekst"/>
            <w:spacing w:after="0"/>
            <w:rPr>
              <w:rFonts w:ascii="Times New Roman" w:hAnsi="Times New Roman" w:cs="Times New Roman"/>
              <w:sz w:val="20"/>
              <w:szCs w:val="20"/>
            </w:rPr>
          </w:pPr>
          <w:r w:rsidRPr="00441E78">
            <w:rPr>
              <w:rFonts w:ascii="Times New Roman" w:hAnsi="Times New Roman" w:cs="Times New Roman"/>
              <w:sz w:val="20"/>
              <w:szCs w:val="20"/>
            </w:rPr>
            <w:t>Publisert på Magasinet</w:t>
          </w:r>
        </w:p>
      </w:tc>
      <w:tc>
        <w:tcPr>
          <w:tcW w:w="1184" w:type="dxa"/>
        </w:tcPr>
        <w:p w14:paraId="0FF55945" w14:textId="3AE1ECA3" w:rsidR="002B2D2D" w:rsidRPr="00441E78" w:rsidRDefault="002B2D2D" w:rsidP="00746468">
          <w:pPr>
            <w:pStyle w:val="Brdtekst"/>
            <w:spacing w:after="0"/>
            <w:rPr>
              <w:rFonts w:ascii="Times New Roman" w:hAnsi="Times New Roman" w:cs="Times New Roman"/>
              <w:sz w:val="20"/>
              <w:szCs w:val="20"/>
            </w:rPr>
          </w:pPr>
        </w:p>
      </w:tc>
      <w:tc>
        <w:tcPr>
          <w:tcW w:w="1271" w:type="dxa"/>
        </w:tcPr>
        <w:p w14:paraId="0FF55946" w14:textId="52DAC41A" w:rsidR="002B2D2D" w:rsidRPr="00441E78" w:rsidRDefault="0070008B" w:rsidP="00746468">
          <w:pPr>
            <w:pStyle w:val="Brdtekst"/>
            <w:spacing w:after="0"/>
            <w:rPr>
              <w:rFonts w:ascii="Times New Roman" w:hAnsi="Times New Roman" w:cs="Times New Roman"/>
              <w:sz w:val="20"/>
              <w:szCs w:val="20"/>
            </w:rPr>
          </w:pPr>
          <w:r>
            <w:rPr>
              <w:rFonts w:ascii="Times New Roman" w:hAnsi="Times New Roman" w:cs="Times New Roman"/>
              <w:sz w:val="20"/>
              <w:szCs w:val="20"/>
            </w:rPr>
            <w:t>S</w:t>
          </w:r>
          <w:r w:rsidR="002B2D2D">
            <w:rPr>
              <w:rFonts w:ascii="Times New Roman" w:hAnsi="Times New Roman" w:cs="Times New Roman"/>
              <w:sz w:val="20"/>
              <w:szCs w:val="20"/>
            </w:rPr>
            <w:t>1</w:t>
          </w:r>
          <w:r w:rsidR="00952D2A">
            <w:rPr>
              <w:rFonts w:ascii="Times New Roman" w:hAnsi="Times New Roman" w:cs="Times New Roman"/>
              <w:sz w:val="20"/>
              <w:szCs w:val="20"/>
            </w:rPr>
            <w:t>9</w:t>
          </w:r>
          <w:r w:rsidR="002B2D2D">
            <w:rPr>
              <w:rFonts w:ascii="Times New Roman" w:hAnsi="Times New Roman" w:cs="Times New Roman"/>
              <w:sz w:val="20"/>
              <w:szCs w:val="20"/>
            </w:rPr>
            <w:t>-</w:t>
          </w:r>
          <w:r w:rsidR="00952D2A">
            <w:rPr>
              <w:rFonts w:ascii="Times New Roman" w:hAnsi="Times New Roman" w:cs="Times New Roman"/>
              <w:sz w:val="20"/>
              <w:szCs w:val="20"/>
            </w:rPr>
            <w:t>00112</w:t>
          </w:r>
        </w:p>
      </w:tc>
      <w:tc>
        <w:tcPr>
          <w:tcW w:w="1559" w:type="dxa"/>
        </w:tcPr>
        <w:p w14:paraId="0FF55947" w14:textId="0CF6C0BA" w:rsidR="0070008B" w:rsidRPr="00441E78" w:rsidRDefault="0070008B" w:rsidP="0070008B">
          <w:pPr>
            <w:pStyle w:val="Brdtekst"/>
            <w:spacing w:after="0"/>
            <w:rPr>
              <w:rFonts w:ascii="Times New Roman" w:hAnsi="Times New Roman" w:cs="Times New Roman"/>
              <w:sz w:val="20"/>
              <w:szCs w:val="20"/>
            </w:rPr>
          </w:pPr>
          <w:r>
            <w:rPr>
              <w:rFonts w:ascii="Times New Roman" w:hAnsi="Times New Roman" w:cs="Times New Roman"/>
              <w:sz w:val="20"/>
              <w:szCs w:val="20"/>
            </w:rPr>
            <w:t>SD</w:t>
          </w:r>
          <w:r w:rsidR="002165E1">
            <w:rPr>
              <w:rFonts w:ascii="Times New Roman" w:hAnsi="Times New Roman" w:cs="Times New Roman"/>
              <w:sz w:val="20"/>
              <w:szCs w:val="20"/>
            </w:rPr>
            <w:t>20</w:t>
          </w:r>
          <w:r>
            <w:rPr>
              <w:rFonts w:ascii="Times New Roman" w:hAnsi="Times New Roman" w:cs="Times New Roman"/>
              <w:sz w:val="20"/>
              <w:szCs w:val="20"/>
            </w:rPr>
            <w:t>-00</w:t>
          </w:r>
          <w:r w:rsidR="00952D2A">
            <w:rPr>
              <w:rFonts w:ascii="Times New Roman" w:hAnsi="Times New Roman" w:cs="Times New Roman"/>
              <w:sz w:val="20"/>
              <w:szCs w:val="20"/>
            </w:rPr>
            <w:t>46</w:t>
          </w:r>
          <w:r w:rsidR="002165E1">
            <w:rPr>
              <w:rFonts w:ascii="Times New Roman" w:hAnsi="Times New Roman" w:cs="Times New Roman"/>
              <w:sz w:val="20"/>
              <w:szCs w:val="20"/>
            </w:rPr>
            <w:t>9</w:t>
          </w:r>
        </w:p>
      </w:tc>
      <w:tc>
        <w:tcPr>
          <w:tcW w:w="1701" w:type="dxa"/>
        </w:tcPr>
        <w:p w14:paraId="0FF55948" w14:textId="77777777" w:rsidR="002B2D2D" w:rsidRPr="00441E78" w:rsidRDefault="002B2D2D" w:rsidP="00746468">
          <w:pPr>
            <w:pStyle w:val="Brdtekst"/>
            <w:spacing w:after="0"/>
            <w:rPr>
              <w:rFonts w:ascii="Times New Roman" w:hAnsi="Times New Roman" w:cs="Times New Roman"/>
              <w:sz w:val="20"/>
              <w:szCs w:val="20"/>
            </w:rPr>
          </w:pPr>
          <w:r w:rsidRPr="00441E78">
            <w:rPr>
              <w:rFonts w:ascii="Times New Roman" w:hAnsi="Times New Roman" w:cs="Times New Roman"/>
              <w:sz w:val="20"/>
              <w:szCs w:val="20"/>
            </w:rPr>
            <w:t>Styringsdokument</w:t>
          </w:r>
        </w:p>
      </w:tc>
      <w:tc>
        <w:tcPr>
          <w:tcW w:w="1134" w:type="dxa"/>
          <w:vMerge/>
        </w:tcPr>
        <w:p w14:paraId="0FF55949" w14:textId="77777777" w:rsidR="002B2D2D" w:rsidRPr="00441E78" w:rsidRDefault="002B2D2D" w:rsidP="00746468">
          <w:pPr>
            <w:pStyle w:val="Bunntekst"/>
            <w:jc w:val="right"/>
            <w:rPr>
              <w:rFonts w:ascii="Times New Roman" w:hAnsi="Times New Roman" w:cs="Times New Roman"/>
              <w:sz w:val="20"/>
              <w:szCs w:val="20"/>
            </w:rPr>
          </w:pPr>
        </w:p>
      </w:tc>
    </w:tr>
  </w:tbl>
  <w:p w14:paraId="0FF5594B" w14:textId="77777777" w:rsidR="002B2D2D" w:rsidRPr="00441E78" w:rsidRDefault="002B2D2D" w:rsidP="00A66C33">
    <w:pPr>
      <w:pStyle w:val="Bunnteks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55976" w14:textId="77777777" w:rsidR="002B2D2D" w:rsidRDefault="002B2D2D" w:rsidP="00342B1D">
    <w:pPr>
      <w:pStyle w:val="Bunntekst"/>
      <w:tabs>
        <w:tab w:val="clear" w:pos="4536"/>
        <w:tab w:val="clear" w:pos="9072"/>
        <w:tab w:val="left" w:pos="1740"/>
      </w:tabs>
    </w:pPr>
  </w:p>
  <w:tbl>
    <w:tblPr>
      <w:tblStyle w:val="Tabellrutenett"/>
      <w:tblW w:w="9209" w:type="dxa"/>
      <w:jc w:val="center"/>
      <w:tblLayout w:type="fixed"/>
      <w:tblCellMar>
        <w:left w:w="57" w:type="dxa"/>
        <w:right w:w="57" w:type="dxa"/>
      </w:tblCellMar>
      <w:tblLook w:val="04A0" w:firstRow="1" w:lastRow="0" w:firstColumn="1" w:lastColumn="0" w:noHBand="0" w:noVBand="1"/>
    </w:tblPr>
    <w:tblGrid>
      <w:gridCol w:w="2360"/>
      <w:gridCol w:w="1184"/>
      <w:gridCol w:w="1271"/>
      <w:gridCol w:w="1559"/>
      <w:gridCol w:w="1701"/>
      <w:gridCol w:w="1134"/>
    </w:tblGrid>
    <w:tr w:rsidR="002B2D2D" w14:paraId="0FF5597E" w14:textId="77777777" w:rsidTr="00C475EE">
      <w:trPr>
        <w:jc w:val="center"/>
      </w:trPr>
      <w:tc>
        <w:tcPr>
          <w:tcW w:w="2360" w:type="dxa"/>
        </w:tcPr>
        <w:p w14:paraId="0FF55977" w14:textId="77777777" w:rsidR="002B2D2D" w:rsidRPr="009534AE" w:rsidRDefault="002B2D2D" w:rsidP="00C475EE">
          <w:pPr>
            <w:pStyle w:val="Brdtekst"/>
            <w:spacing w:after="0"/>
            <w:rPr>
              <w:b/>
              <w:color w:val="808080" w:themeColor="background1" w:themeShade="80"/>
              <w:sz w:val="16"/>
            </w:rPr>
          </w:pPr>
          <w:r>
            <w:rPr>
              <w:b/>
              <w:color w:val="808080" w:themeColor="background1" w:themeShade="80"/>
              <w:sz w:val="16"/>
            </w:rPr>
            <w:t>Siste gyldige versjon:</w:t>
          </w:r>
        </w:p>
      </w:tc>
      <w:tc>
        <w:tcPr>
          <w:tcW w:w="1184" w:type="dxa"/>
        </w:tcPr>
        <w:p w14:paraId="0FF55978" w14:textId="77777777" w:rsidR="002B2D2D" w:rsidRPr="009534AE" w:rsidRDefault="002B2D2D" w:rsidP="00C475EE">
          <w:pPr>
            <w:pStyle w:val="Brdtekst"/>
            <w:spacing w:after="0"/>
            <w:rPr>
              <w:b/>
              <w:color w:val="808080" w:themeColor="background1" w:themeShade="80"/>
              <w:sz w:val="16"/>
            </w:rPr>
          </w:pPr>
          <w:proofErr w:type="spellStart"/>
          <w:r>
            <w:rPr>
              <w:b/>
              <w:color w:val="808080" w:themeColor="background1" w:themeShade="80"/>
              <w:sz w:val="16"/>
            </w:rPr>
            <w:t>Prosjektnr</w:t>
          </w:r>
          <w:proofErr w:type="spellEnd"/>
          <w:r>
            <w:rPr>
              <w:b/>
              <w:color w:val="808080" w:themeColor="background1" w:themeShade="80"/>
              <w:sz w:val="16"/>
            </w:rPr>
            <w:t>:</w:t>
          </w:r>
        </w:p>
      </w:tc>
      <w:tc>
        <w:tcPr>
          <w:tcW w:w="1271" w:type="dxa"/>
        </w:tcPr>
        <w:p w14:paraId="0FF55979" w14:textId="77777777" w:rsidR="002B2D2D" w:rsidRPr="0081780D" w:rsidRDefault="002B2D2D" w:rsidP="00C475EE">
          <w:pPr>
            <w:pStyle w:val="Brdtekst"/>
            <w:spacing w:after="0"/>
            <w:rPr>
              <w:b/>
              <w:color w:val="808080" w:themeColor="background1" w:themeShade="80"/>
              <w:sz w:val="16"/>
            </w:rPr>
          </w:pPr>
          <w:proofErr w:type="spellStart"/>
          <w:r>
            <w:rPr>
              <w:b/>
              <w:color w:val="808080" w:themeColor="background1" w:themeShade="80"/>
              <w:sz w:val="16"/>
            </w:rPr>
            <w:t>Styringssaknr</w:t>
          </w:r>
          <w:proofErr w:type="spellEnd"/>
          <w:r>
            <w:rPr>
              <w:b/>
              <w:color w:val="808080" w:themeColor="background1" w:themeShade="80"/>
              <w:sz w:val="16"/>
            </w:rPr>
            <w:t>:</w:t>
          </w:r>
        </w:p>
      </w:tc>
      <w:tc>
        <w:tcPr>
          <w:tcW w:w="1559" w:type="dxa"/>
        </w:tcPr>
        <w:p w14:paraId="0FF5597A" w14:textId="77777777" w:rsidR="002B2D2D" w:rsidRPr="0081780D" w:rsidRDefault="002B2D2D" w:rsidP="00C475EE">
          <w:pPr>
            <w:pStyle w:val="Brdtekst"/>
            <w:spacing w:after="0"/>
            <w:rPr>
              <w:b/>
              <w:color w:val="808080" w:themeColor="background1" w:themeShade="80"/>
              <w:sz w:val="16"/>
            </w:rPr>
          </w:pPr>
          <w:proofErr w:type="spellStart"/>
          <w:r>
            <w:rPr>
              <w:b/>
              <w:color w:val="808080" w:themeColor="background1" w:themeShade="80"/>
              <w:sz w:val="16"/>
            </w:rPr>
            <w:t>Styringsdoknr</w:t>
          </w:r>
          <w:proofErr w:type="spellEnd"/>
          <w:r>
            <w:rPr>
              <w:b/>
              <w:color w:val="808080" w:themeColor="background1" w:themeShade="80"/>
              <w:sz w:val="16"/>
            </w:rPr>
            <w:t>:</w:t>
          </w:r>
        </w:p>
      </w:tc>
      <w:tc>
        <w:tcPr>
          <w:tcW w:w="1701" w:type="dxa"/>
        </w:tcPr>
        <w:p w14:paraId="0FF5597B" w14:textId="77777777" w:rsidR="002B2D2D" w:rsidRPr="0081780D" w:rsidRDefault="002B2D2D" w:rsidP="00C475EE">
          <w:pPr>
            <w:pStyle w:val="Brdtekst"/>
            <w:spacing w:after="0"/>
            <w:rPr>
              <w:b/>
              <w:color w:val="808080" w:themeColor="background1" w:themeShade="80"/>
              <w:sz w:val="16"/>
            </w:rPr>
          </w:pPr>
          <w:r>
            <w:rPr>
              <w:b/>
              <w:color w:val="808080" w:themeColor="background1" w:themeShade="80"/>
              <w:sz w:val="16"/>
            </w:rPr>
            <w:t>Type mal:</w:t>
          </w:r>
        </w:p>
      </w:tc>
      <w:tc>
        <w:tcPr>
          <w:tcW w:w="1134" w:type="dxa"/>
          <w:vMerge w:val="restart"/>
        </w:tcPr>
        <w:sdt>
          <w:sdtPr>
            <w:rPr>
              <w:sz w:val="18"/>
              <w:szCs w:val="20"/>
            </w:rPr>
            <w:id w:val="-1050528670"/>
            <w:docPartObj>
              <w:docPartGallery w:val="Page Numbers (Bottom of Page)"/>
              <w:docPartUnique/>
            </w:docPartObj>
          </w:sdtPr>
          <w:sdtEndPr/>
          <w:sdtContent>
            <w:sdt>
              <w:sdtPr>
                <w:rPr>
                  <w:sz w:val="18"/>
                  <w:szCs w:val="20"/>
                </w:rPr>
                <w:id w:val="-343175231"/>
                <w:docPartObj>
                  <w:docPartGallery w:val="Page Numbers (Top of Page)"/>
                  <w:docPartUnique/>
                </w:docPartObj>
              </w:sdtPr>
              <w:sdtEndPr/>
              <w:sdtContent>
                <w:p w14:paraId="0FF5597C" w14:textId="77777777" w:rsidR="002B2D2D" w:rsidRPr="00A56A72" w:rsidRDefault="002B2D2D" w:rsidP="00C475EE">
                  <w:pPr>
                    <w:pStyle w:val="Bunntekst"/>
                    <w:jc w:val="center"/>
                    <w:rPr>
                      <w:sz w:val="18"/>
                      <w:szCs w:val="20"/>
                    </w:rPr>
                  </w:pPr>
                </w:p>
                <w:p w14:paraId="0FF5597D" w14:textId="77777777" w:rsidR="002B2D2D" w:rsidRPr="0056695C" w:rsidRDefault="002B2D2D" w:rsidP="00C475EE">
                  <w:pPr>
                    <w:pStyle w:val="Bunntekst"/>
                    <w:ind w:left="200" w:hanging="200"/>
                    <w:jc w:val="center"/>
                    <w:rPr>
                      <w:b/>
                      <w:sz w:val="16"/>
                    </w:rPr>
                  </w:pPr>
                  <w:r w:rsidRPr="00A56A72">
                    <w:rPr>
                      <w:sz w:val="18"/>
                      <w:szCs w:val="20"/>
                    </w:rPr>
                    <w:t xml:space="preserve">Side </w:t>
                  </w:r>
                  <w:r w:rsidRPr="00A56A72">
                    <w:rPr>
                      <w:b/>
                      <w:bCs/>
                      <w:sz w:val="18"/>
                      <w:szCs w:val="20"/>
                    </w:rPr>
                    <w:fldChar w:fldCharType="begin"/>
                  </w:r>
                  <w:r w:rsidRPr="00A56A72">
                    <w:rPr>
                      <w:b/>
                      <w:bCs/>
                      <w:sz w:val="18"/>
                      <w:szCs w:val="20"/>
                    </w:rPr>
                    <w:instrText>PAGE</w:instrText>
                  </w:r>
                  <w:r w:rsidRPr="00A56A72">
                    <w:rPr>
                      <w:b/>
                      <w:bCs/>
                      <w:sz w:val="18"/>
                      <w:szCs w:val="20"/>
                    </w:rPr>
                    <w:fldChar w:fldCharType="separate"/>
                  </w:r>
                  <w:r w:rsidR="00000B0B">
                    <w:rPr>
                      <w:b/>
                      <w:bCs/>
                      <w:noProof/>
                      <w:sz w:val="18"/>
                      <w:szCs w:val="20"/>
                    </w:rPr>
                    <w:t>1</w:t>
                  </w:r>
                  <w:r w:rsidRPr="00A56A72">
                    <w:rPr>
                      <w:b/>
                      <w:bCs/>
                      <w:sz w:val="18"/>
                      <w:szCs w:val="20"/>
                    </w:rPr>
                    <w:fldChar w:fldCharType="end"/>
                  </w:r>
                  <w:r w:rsidRPr="00A56A72">
                    <w:rPr>
                      <w:sz w:val="18"/>
                      <w:szCs w:val="20"/>
                    </w:rPr>
                    <w:t xml:space="preserve"> av </w:t>
                  </w:r>
                  <w:r w:rsidRPr="00A56A72">
                    <w:rPr>
                      <w:b/>
                      <w:bCs/>
                      <w:sz w:val="18"/>
                      <w:szCs w:val="20"/>
                    </w:rPr>
                    <w:fldChar w:fldCharType="begin"/>
                  </w:r>
                  <w:r w:rsidRPr="00A56A72">
                    <w:rPr>
                      <w:b/>
                      <w:bCs/>
                      <w:sz w:val="18"/>
                      <w:szCs w:val="20"/>
                    </w:rPr>
                    <w:instrText>NUMPAGES</w:instrText>
                  </w:r>
                  <w:r w:rsidRPr="00A56A72">
                    <w:rPr>
                      <w:b/>
                      <w:bCs/>
                      <w:sz w:val="18"/>
                      <w:szCs w:val="20"/>
                    </w:rPr>
                    <w:fldChar w:fldCharType="separate"/>
                  </w:r>
                  <w:r w:rsidR="00000B0B">
                    <w:rPr>
                      <w:b/>
                      <w:bCs/>
                      <w:noProof/>
                      <w:sz w:val="18"/>
                      <w:szCs w:val="20"/>
                    </w:rPr>
                    <w:t>11</w:t>
                  </w:r>
                  <w:r w:rsidRPr="00A56A72">
                    <w:rPr>
                      <w:b/>
                      <w:bCs/>
                      <w:sz w:val="18"/>
                      <w:szCs w:val="20"/>
                    </w:rPr>
                    <w:fldChar w:fldCharType="end"/>
                  </w:r>
                </w:p>
              </w:sdtContent>
            </w:sdt>
          </w:sdtContent>
        </w:sdt>
      </w:tc>
    </w:tr>
    <w:tr w:rsidR="002B2D2D" w14:paraId="0FF55985" w14:textId="77777777" w:rsidTr="00C475EE">
      <w:trPr>
        <w:jc w:val="center"/>
      </w:trPr>
      <w:tc>
        <w:tcPr>
          <w:tcW w:w="2360" w:type="dxa"/>
        </w:tcPr>
        <w:p w14:paraId="0FF5597F" w14:textId="77777777" w:rsidR="002B2D2D" w:rsidRPr="00441E78" w:rsidRDefault="002B2D2D" w:rsidP="00C475EE">
          <w:pPr>
            <w:pStyle w:val="Brdtekst"/>
            <w:spacing w:after="0"/>
            <w:rPr>
              <w:rFonts w:ascii="Times New Roman" w:hAnsi="Times New Roman" w:cs="Times New Roman"/>
              <w:sz w:val="20"/>
              <w:szCs w:val="20"/>
            </w:rPr>
          </w:pPr>
          <w:r w:rsidRPr="00441E78">
            <w:rPr>
              <w:rFonts w:ascii="Times New Roman" w:hAnsi="Times New Roman" w:cs="Times New Roman"/>
              <w:sz w:val="20"/>
              <w:szCs w:val="20"/>
            </w:rPr>
            <w:t>Publisert på Magasinet</w:t>
          </w:r>
        </w:p>
      </w:tc>
      <w:tc>
        <w:tcPr>
          <w:tcW w:w="1184" w:type="dxa"/>
        </w:tcPr>
        <w:p w14:paraId="0FF55980" w14:textId="503601BC" w:rsidR="002B2D2D" w:rsidRPr="00441E78" w:rsidRDefault="002B2D2D" w:rsidP="00C475EE">
          <w:pPr>
            <w:pStyle w:val="Brdtekst"/>
            <w:spacing w:after="0"/>
            <w:rPr>
              <w:rFonts w:ascii="Times New Roman" w:hAnsi="Times New Roman" w:cs="Times New Roman"/>
              <w:sz w:val="20"/>
              <w:szCs w:val="20"/>
            </w:rPr>
          </w:pPr>
        </w:p>
      </w:tc>
      <w:tc>
        <w:tcPr>
          <w:tcW w:w="1271" w:type="dxa"/>
        </w:tcPr>
        <w:p w14:paraId="0FF55981" w14:textId="57F1C37E" w:rsidR="002B2D2D" w:rsidRPr="00441E78" w:rsidRDefault="0070008B" w:rsidP="00C475EE">
          <w:pPr>
            <w:pStyle w:val="Brdtekst"/>
            <w:spacing w:after="0"/>
            <w:rPr>
              <w:rFonts w:ascii="Times New Roman" w:hAnsi="Times New Roman" w:cs="Times New Roman"/>
              <w:sz w:val="20"/>
              <w:szCs w:val="20"/>
            </w:rPr>
          </w:pPr>
          <w:r>
            <w:rPr>
              <w:rFonts w:ascii="Times New Roman" w:hAnsi="Times New Roman" w:cs="Times New Roman"/>
              <w:sz w:val="20"/>
              <w:szCs w:val="20"/>
            </w:rPr>
            <w:t>S</w:t>
          </w:r>
          <w:r w:rsidR="00ED0C77">
            <w:rPr>
              <w:rFonts w:ascii="Times New Roman" w:hAnsi="Times New Roman" w:cs="Times New Roman"/>
              <w:sz w:val="20"/>
              <w:szCs w:val="20"/>
            </w:rPr>
            <w:t>20</w:t>
          </w:r>
          <w:r w:rsidR="009605D4">
            <w:rPr>
              <w:rFonts w:ascii="Times New Roman" w:hAnsi="Times New Roman" w:cs="Times New Roman"/>
              <w:sz w:val="20"/>
              <w:szCs w:val="20"/>
            </w:rPr>
            <w:t>-</w:t>
          </w:r>
          <w:r w:rsidR="001E608B">
            <w:rPr>
              <w:rFonts w:ascii="Times New Roman" w:hAnsi="Times New Roman" w:cs="Times New Roman"/>
              <w:sz w:val="20"/>
              <w:szCs w:val="20"/>
            </w:rPr>
            <w:t>00112</w:t>
          </w:r>
        </w:p>
      </w:tc>
      <w:tc>
        <w:tcPr>
          <w:tcW w:w="1559" w:type="dxa"/>
        </w:tcPr>
        <w:p w14:paraId="0FF55982" w14:textId="14E490A7" w:rsidR="002165E1" w:rsidRPr="00441E78" w:rsidRDefault="0070008B" w:rsidP="005B3BAD">
          <w:pPr>
            <w:pStyle w:val="Brdtekst"/>
            <w:spacing w:after="0"/>
            <w:rPr>
              <w:rFonts w:ascii="Times New Roman" w:hAnsi="Times New Roman" w:cs="Times New Roman"/>
              <w:sz w:val="20"/>
              <w:szCs w:val="20"/>
            </w:rPr>
          </w:pPr>
          <w:r>
            <w:rPr>
              <w:rFonts w:ascii="Times New Roman" w:hAnsi="Times New Roman" w:cs="Times New Roman"/>
              <w:sz w:val="20"/>
              <w:szCs w:val="20"/>
            </w:rPr>
            <w:t>SD</w:t>
          </w:r>
          <w:r w:rsidR="009605D4">
            <w:rPr>
              <w:rFonts w:ascii="Times New Roman" w:hAnsi="Times New Roman" w:cs="Times New Roman"/>
              <w:sz w:val="20"/>
              <w:szCs w:val="20"/>
            </w:rPr>
            <w:t>20</w:t>
          </w:r>
          <w:r>
            <w:rPr>
              <w:rFonts w:ascii="Times New Roman" w:hAnsi="Times New Roman" w:cs="Times New Roman"/>
              <w:sz w:val="20"/>
              <w:szCs w:val="20"/>
            </w:rPr>
            <w:t>-00</w:t>
          </w:r>
          <w:r w:rsidR="00952D2A">
            <w:rPr>
              <w:rFonts w:ascii="Times New Roman" w:hAnsi="Times New Roman" w:cs="Times New Roman"/>
              <w:sz w:val="20"/>
              <w:szCs w:val="20"/>
            </w:rPr>
            <w:t>4</w:t>
          </w:r>
          <w:r w:rsidR="009605D4">
            <w:rPr>
              <w:rFonts w:ascii="Times New Roman" w:hAnsi="Times New Roman" w:cs="Times New Roman"/>
              <w:sz w:val="20"/>
              <w:szCs w:val="20"/>
            </w:rPr>
            <w:t>6</w:t>
          </w:r>
          <w:r w:rsidR="002165E1">
            <w:rPr>
              <w:rFonts w:ascii="Times New Roman" w:hAnsi="Times New Roman" w:cs="Times New Roman"/>
              <w:sz w:val="20"/>
              <w:szCs w:val="20"/>
            </w:rPr>
            <w:t>9</w:t>
          </w:r>
        </w:p>
      </w:tc>
      <w:tc>
        <w:tcPr>
          <w:tcW w:w="1701" w:type="dxa"/>
        </w:tcPr>
        <w:p w14:paraId="0FF55983" w14:textId="77777777" w:rsidR="002B2D2D" w:rsidRPr="00441E78" w:rsidRDefault="002B2D2D" w:rsidP="00C475EE">
          <w:pPr>
            <w:pStyle w:val="Brdtekst"/>
            <w:spacing w:after="0"/>
            <w:rPr>
              <w:rFonts w:ascii="Times New Roman" w:hAnsi="Times New Roman" w:cs="Times New Roman"/>
              <w:sz w:val="20"/>
              <w:szCs w:val="20"/>
            </w:rPr>
          </w:pPr>
          <w:r w:rsidRPr="00441E78">
            <w:rPr>
              <w:rFonts w:ascii="Times New Roman" w:hAnsi="Times New Roman" w:cs="Times New Roman"/>
              <w:sz w:val="20"/>
              <w:szCs w:val="20"/>
            </w:rPr>
            <w:t>Styringsdokument</w:t>
          </w:r>
        </w:p>
      </w:tc>
      <w:tc>
        <w:tcPr>
          <w:tcW w:w="1134" w:type="dxa"/>
          <w:vMerge/>
        </w:tcPr>
        <w:p w14:paraId="0FF55984" w14:textId="77777777" w:rsidR="002B2D2D" w:rsidRPr="00C51209" w:rsidRDefault="002B2D2D" w:rsidP="00C475EE">
          <w:pPr>
            <w:pStyle w:val="Bunntekst"/>
            <w:jc w:val="right"/>
            <w:rPr>
              <w:sz w:val="20"/>
              <w:szCs w:val="20"/>
            </w:rPr>
          </w:pPr>
        </w:p>
      </w:tc>
    </w:tr>
  </w:tbl>
  <w:p w14:paraId="0FF55986" w14:textId="77777777" w:rsidR="002B2D2D" w:rsidRDefault="002B2D2D" w:rsidP="00342B1D">
    <w:pPr>
      <w:pStyle w:val="Bunntekst"/>
      <w:tabs>
        <w:tab w:val="clear" w:pos="4536"/>
        <w:tab w:val="clear" w:pos="9072"/>
        <w:tab w:val="left" w:pos="17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0A770" w14:textId="77777777" w:rsidR="00343B20" w:rsidRDefault="00343B20">
      <w:r>
        <w:separator/>
      </w:r>
    </w:p>
  </w:footnote>
  <w:footnote w:type="continuationSeparator" w:id="0">
    <w:p w14:paraId="1ED63472" w14:textId="77777777" w:rsidR="00343B20" w:rsidRDefault="00343B20">
      <w:r>
        <w:continuationSeparator/>
      </w:r>
    </w:p>
  </w:footnote>
  <w:footnote w:type="continuationNotice" w:id="1">
    <w:p w14:paraId="079C947F" w14:textId="77777777" w:rsidR="00343B20" w:rsidRDefault="00343B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920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5098"/>
      <w:gridCol w:w="1418"/>
      <w:gridCol w:w="2693"/>
    </w:tblGrid>
    <w:tr w:rsidR="002B2D2D" w14:paraId="0FF55939" w14:textId="77777777" w:rsidTr="00312540">
      <w:trPr>
        <w:jc w:val="center"/>
      </w:trPr>
      <w:tc>
        <w:tcPr>
          <w:tcW w:w="5098" w:type="dxa"/>
        </w:tcPr>
        <w:p w14:paraId="0FF55936" w14:textId="77777777" w:rsidR="002B2D2D" w:rsidRDefault="002B2D2D" w:rsidP="00C51209">
          <w:pPr>
            <w:pStyle w:val="Brdtekst"/>
            <w:spacing w:after="0"/>
          </w:pPr>
        </w:p>
      </w:tc>
      <w:tc>
        <w:tcPr>
          <w:tcW w:w="1418" w:type="dxa"/>
        </w:tcPr>
        <w:p w14:paraId="0FF55937" w14:textId="77777777" w:rsidR="002B2D2D" w:rsidRDefault="002B2D2D" w:rsidP="0056695C">
          <w:pPr>
            <w:pStyle w:val="Brdtekst"/>
          </w:pPr>
          <w:r w:rsidRPr="00312540">
            <w:rPr>
              <w:color w:val="A6A6A6" w:themeColor="background1" w:themeShade="A6"/>
            </w:rPr>
            <w:t>Sakskategori:</w:t>
          </w:r>
        </w:p>
      </w:tc>
      <w:tc>
        <w:tcPr>
          <w:tcW w:w="2693" w:type="dxa"/>
          <w:shd w:val="clear" w:color="auto" w:fill="auto"/>
        </w:tcPr>
        <w:p w14:paraId="0FF55938" w14:textId="77777777" w:rsidR="002B2D2D" w:rsidRPr="00506300" w:rsidRDefault="002B2D2D" w:rsidP="0056695C">
          <w:pPr>
            <w:pStyle w:val="Brdtekst"/>
            <w:jc w:val="right"/>
            <w:rPr>
              <w:rFonts w:ascii="Arial" w:hAnsi="Arial" w:cs="Arial"/>
              <w:b/>
            </w:rPr>
          </w:pPr>
          <w:r>
            <w:rPr>
              <w:rFonts w:ascii="Arial" w:hAnsi="Arial" w:cs="Arial"/>
              <w:b/>
            </w:rPr>
            <w:t>Rammedokument</w:t>
          </w:r>
        </w:p>
      </w:tc>
    </w:tr>
  </w:tbl>
  <w:p w14:paraId="0FF5593A" w14:textId="77777777" w:rsidR="002B2D2D" w:rsidRPr="00764F4B" w:rsidRDefault="002B2D2D" w:rsidP="00764F4B">
    <w:pPr>
      <w:pStyle w:val="Topptekst"/>
      <w:rPr>
        <w:color w:val="A6A6A6" w:themeColor="background1" w:themeShade="A6"/>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935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267"/>
      <w:gridCol w:w="1839"/>
      <w:gridCol w:w="1985"/>
      <w:gridCol w:w="3260"/>
    </w:tblGrid>
    <w:tr w:rsidR="002B2D2D" w14:paraId="0FF5594F" w14:textId="77777777" w:rsidTr="18D775C8">
      <w:trPr>
        <w:jc w:val="center"/>
      </w:trPr>
      <w:tc>
        <w:tcPr>
          <w:tcW w:w="2267" w:type="dxa"/>
          <w:vMerge w:val="restart"/>
        </w:tcPr>
        <w:p w14:paraId="0FF5594C" w14:textId="77777777" w:rsidR="002B2D2D" w:rsidRPr="00DC7AE7" w:rsidRDefault="002B2D2D" w:rsidP="00AD622E">
          <w:pPr>
            <w:pStyle w:val="Brdtekst"/>
            <w:spacing w:after="0"/>
            <w:ind w:left="-62"/>
            <w:rPr>
              <w:noProof/>
            </w:rPr>
          </w:pPr>
          <w:r w:rsidRPr="00DC7AE7">
            <w:rPr>
              <w:noProof/>
              <w:lang w:val="en-GB" w:eastAsia="en-GB"/>
            </w:rPr>
            <w:drawing>
              <wp:inline distT="0" distB="0" distL="0" distR="0" wp14:anchorId="0FF55987" wp14:editId="0FF55988">
                <wp:extent cx="1266825" cy="598239"/>
                <wp:effectExtent l="19050" t="0" r="9525"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cstate="print"/>
                        <a:srcRect/>
                        <a:stretch>
                          <a:fillRect/>
                        </a:stretch>
                      </pic:blipFill>
                      <pic:spPr bwMode="auto">
                        <a:xfrm>
                          <a:off x="0" y="0"/>
                          <a:ext cx="1266833" cy="598243"/>
                        </a:xfrm>
                        <a:prstGeom prst="rect">
                          <a:avLst/>
                        </a:prstGeom>
                        <a:noFill/>
                        <a:ln w="9525">
                          <a:noFill/>
                          <a:miter lim="800000"/>
                          <a:headEnd/>
                          <a:tailEnd/>
                        </a:ln>
                      </pic:spPr>
                    </pic:pic>
                  </a:graphicData>
                </a:graphic>
              </wp:inline>
            </w:drawing>
          </w:r>
        </w:p>
      </w:tc>
      <w:tc>
        <w:tcPr>
          <w:tcW w:w="1839" w:type="dxa"/>
          <w:vMerge w:val="restart"/>
        </w:tcPr>
        <w:p w14:paraId="0FF5594D" w14:textId="77777777" w:rsidR="002B2D2D" w:rsidRDefault="002B2D2D" w:rsidP="00AD622E">
          <w:pPr>
            <w:pStyle w:val="Brdtekst"/>
          </w:pPr>
        </w:p>
      </w:tc>
      <w:tc>
        <w:tcPr>
          <w:tcW w:w="5245" w:type="dxa"/>
          <w:gridSpan w:val="2"/>
        </w:tcPr>
        <w:p w14:paraId="0FF5594E" w14:textId="77777777" w:rsidR="002B2D2D" w:rsidRPr="00C24B09" w:rsidRDefault="002B2D2D" w:rsidP="004F0935">
          <w:pPr>
            <w:pStyle w:val="Brdtekst"/>
            <w:spacing w:after="0"/>
            <w:ind w:left="1004" w:hanging="1004"/>
            <w:jc w:val="right"/>
            <w:rPr>
              <w:rFonts w:ascii="Arial" w:hAnsi="Arial" w:cs="Arial"/>
              <w:b/>
            </w:rPr>
          </w:pPr>
          <w:r>
            <w:rPr>
              <w:rFonts w:ascii="Arial" w:hAnsi="Arial" w:cs="Arial"/>
              <w:b/>
              <w:sz w:val="24"/>
            </w:rPr>
            <w:t xml:space="preserve">Et dokument i NVEs </w:t>
          </w:r>
          <w:r w:rsidRPr="000B648A">
            <w:rPr>
              <w:rFonts w:ascii="Arial" w:hAnsi="Arial" w:cs="Arial"/>
              <w:b/>
              <w:sz w:val="24"/>
            </w:rPr>
            <w:t>KVALITETSSYSTEM</w:t>
          </w:r>
        </w:p>
      </w:tc>
    </w:tr>
    <w:tr w:rsidR="002B2D2D" w14:paraId="0FF55953" w14:textId="77777777" w:rsidTr="18D775C8">
      <w:trPr>
        <w:jc w:val="center"/>
      </w:trPr>
      <w:tc>
        <w:tcPr>
          <w:tcW w:w="2267" w:type="dxa"/>
          <w:vMerge/>
        </w:tcPr>
        <w:p w14:paraId="0FF55950" w14:textId="77777777" w:rsidR="002B2D2D" w:rsidRDefault="002B2D2D" w:rsidP="00AD622E">
          <w:pPr>
            <w:pStyle w:val="Brdtekst"/>
            <w:spacing w:after="0"/>
            <w:ind w:left="-62"/>
          </w:pPr>
        </w:p>
      </w:tc>
      <w:tc>
        <w:tcPr>
          <w:tcW w:w="1839" w:type="dxa"/>
          <w:vMerge/>
        </w:tcPr>
        <w:p w14:paraId="0FF55951" w14:textId="77777777" w:rsidR="002B2D2D" w:rsidRDefault="002B2D2D" w:rsidP="00AD622E">
          <w:pPr>
            <w:pStyle w:val="Brdtekst"/>
          </w:pPr>
        </w:p>
      </w:tc>
      <w:tc>
        <w:tcPr>
          <w:tcW w:w="5245" w:type="dxa"/>
          <w:gridSpan w:val="2"/>
        </w:tcPr>
        <w:p w14:paraId="0FF55952" w14:textId="77777777" w:rsidR="002B2D2D" w:rsidRPr="004F0935" w:rsidRDefault="002B2D2D" w:rsidP="00C8696A">
          <w:pPr>
            <w:pStyle w:val="Brdtekst"/>
            <w:spacing w:after="0"/>
            <w:jc w:val="right"/>
            <w:rPr>
              <w:rFonts w:ascii="Arial" w:hAnsi="Arial" w:cs="Arial"/>
            </w:rPr>
          </w:pPr>
          <w:r w:rsidRPr="004F0935">
            <w:rPr>
              <w:rFonts w:ascii="Arial" w:hAnsi="Arial" w:cs="Arial"/>
            </w:rPr>
            <w:t>STYRINGSDOKUMENT</w:t>
          </w:r>
        </w:p>
      </w:tc>
    </w:tr>
    <w:tr w:rsidR="002B2D2D" w14:paraId="0FF55958" w14:textId="77777777" w:rsidTr="18D775C8">
      <w:trPr>
        <w:jc w:val="center"/>
      </w:trPr>
      <w:tc>
        <w:tcPr>
          <w:tcW w:w="2267" w:type="dxa"/>
          <w:vMerge/>
        </w:tcPr>
        <w:p w14:paraId="0FF55954" w14:textId="77777777" w:rsidR="002B2D2D" w:rsidRDefault="002B2D2D" w:rsidP="00AD622E">
          <w:pPr>
            <w:pStyle w:val="Brdtekst"/>
            <w:spacing w:after="0"/>
          </w:pPr>
        </w:p>
      </w:tc>
      <w:tc>
        <w:tcPr>
          <w:tcW w:w="1839" w:type="dxa"/>
          <w:vMerge/>
        </w:tcPr>
        <w:p w14:paraId="0FF55955" w14:textId="77777777" w:rsidR="002B2D2D" w:rsidRDefault="002B2D2D" w:rsidP="00AD622E">
          <w:pPr>
            <w:pStyle w:val="Brdtekst"/>
            <w:spacing w:after="0"/>
          </w:pPr>
        </w:p>
      </w:tc>
      <w:tc>
        <w:tcPr>
          <w:tcW w:w="1985" w:type="dxa"/>
        </w:tcPr>
        <w:p w14:paraId="0FF55956" w14:textId="77777777" w:rsidR="002B2D2D" w:rsidRPr="00441E78" w:rsidRDefault="002B2D2D" w:rsidP="00937E0F">
          <w:pPr>
            <w:pStyle w:val="Brdtekst"/>
            <w:spacing w:after="0"/>
            <w:rPr>
              <w:rFonts w:ascii="Times New Roman" w:hAnsi="Times New Roman" w:cs="Times New Roman"/>
              <w:b/>
            </w:rPr>
          </w:pPr>
          <w:r w:rsidRPr="00441E78">
            <w:rPr>
              <w:rFonts w:ascii="Times New Roman" w:hAnsi="Times New Roman" w:cs="Times New Roman"/>
              <w:b/>
            </w:rPr>
            <w:t>Sakskategori:</w:t>
          </w:r>
        </w:p>
      </w:tc>
      <w:tc>
        <w:tcPr>
          <w:tcW w:w="3260" w:type="dxa"/>
          <w:shd w:val="clear" w:color="auto" w:fill="auto"/>
        </w:tcPr>
        <w:p w14:paraId="0FF55957" w14:textId="77777777" w:rsidR="002B2D2D" w:rsidRPr="00441E78" w:rsidRDefault="002B2D2D" w:rsidP="00AD622E">
          <w:pPr>
            <w:pStyle w:val="Brdtekst"/>
            <w:spacing w:after="0"/>
            <w:rPr>
              <w:rFonts w:ascii="Times New Roman" w:hAnsi="Times New Roman" w:cs="Times New Roman"/>
            </w:rPr>
          </w:pPr>
          <w:r>
            <w:rPr>
              <w:rFonts w:ascii="Times New Roman" w:hAnsi="Times New Roman" w:cs="Times New Roman"/>
            </w:rPr>
            <w:t>Rammedokument</w:t>
          </w:r>
        </w:p>
      </w:tc>
    </w:tr>
    <w:tr w:rsidR="002B2D2D" w14:paraId="0FF5595D" w14:textId="77777777" w:rsidTr="18D775C8">
      <w:trPr>
        <w:jc w:val="center"/>
      </w:trPr>
      <w:tc>
        <w:tcPr>
          <w:tcW w:w="2267" w:type="dxa"/>
          <w:vMerge/>
        </w:tcPr>
        <w:p w14:paraId="0FF55959" w14:textId="77777777" w:rsidR="002B2D2D" w:rsidRDefault="002B2D2D" w:rsidP="00AD622E">
          <w:pPr>
            <w:pStyle w:val="Brdtekst"/>
            <w:spacing w:after="0"/>
          </w:pPr>
        </w:p>
      </w:tc>
      <w:tc>
        <w:tcPr>
          <w:tcW w:w="1839" w:type="dxa"/>
          <w:vMerge/>
        </w:tcPr>
        <w:p w14:paraId="0FF5595A" w14:textId="77777777" w:rsidR="002B2D2D" w:rsidRDefault="002B2D2D" w:rsidP="00AD622E">
          <w:pPr>
            <w:pStyle w:val="Brdtekst"/>
            <w:spacing w:after="0"/>
          </w:pPr>
        </w:p>
      </w:tc>
      <w:tc>
        <w:tcPr>
          <w:tcW w:w="1985" w:type="dxa"/>
        </w:tcPr>
        <w:p w14:paraId="0FF5595B" w14:textId="77777777" w:rsidR="002B2D2D" w:rsidRPr="00441E78" w:rsidRDefault="002B2D2D" w:rsidP="00937E0F">
          <w:pPr>
            <w:pStyle w:val="Brdtekst"/>
            <w:spacing w:after="0"/>
            <w:rPr>
              <w:rFonts w:ascii="Times New Roman" w:hAnsi="Times New Roman" w:cs="Times New Roman"/>
              <w:b/>
            </w:rPr>
          </w:pPr>
          <w:r w:rsidRPr="00441E78">
            <w:rPr>
              <w:rFonts w:ascii="Times New Roman" w:hAnsi="Times New Roman" w:cs="Times New Roman"/>
              <w:b/>
            </w:rPr>
            <w:t>Dokumentkategori:</w:t>
          </w:r>
        </w:p>
      </w:tc>
      <w:tc>
        <w:tcPr>
          <w:tcW w:w="3260" w:type="dxa"/>
          <w:shd w:val="clear" w:color="auto" w:fill="auto"/>
        </w:tcPr>
        <w:p w14:paraId="0FF5595C" w14:textId="77777777" w:rsidR="002B2D2D" w:rsidRPr="00441E78" w:rsidRDefault="002B2D2D" w:rsidP="00AD622E">
          <w:pPr>
            <w:pStyle w:val="Brdtekst"/>
            <w:spacing w:after="0"/>
            <w:rPr>
              <w:rFonts w:ascii="Times New Roman" w:hAnsi="Times New Roman" w:cs="Times New Roman"/>
            </w:rPr>
          </w:pPr>
          <w:r>
            <w:rPr>
              <w:rFonts w:ascii="Times New Roman" w:hAnsi="Times New Roman" w:cs="Times New Roman"/>
            </w:rPr>
            <w:t>Føring/retningslinje</w:t>
          </w:r>
        </w:p>
      </w:tc>
    </w:tr>
    <w:tr w:rsidR="002B2D2D" w14:paraId="0FF55962" w14:textId="77777777" w:rsidTr="18D775C8">
      <w:trPr>
        <w:jc w:val="center"/>
      </w:trPr>
      <w:tc>
        <w:tcPr>
          <w:tcW w:w="2267" w:type="dxa"/>
          <w:vMerge/>
        </w:tcPr>
        <w:p w14:paraId="0FF5595E" w14:textId="77777777" w:rsidR="002B2D2D" w:rsidRDefault="002B2D2D" w:rsidP="00AD622E">
          <w:pPr>
            <w:pStyle w:val="Brdtekst"/>
            <w:spacing w:after="0"/>
          </w:pPr>
        </w:p>
      </w:tc>
      <w:tc>
        <w:tcPr>
          <w:tcW w:w="1839" w:type="dxa"/>
          <w:vMerge/>
        </w:tcPr>
        <w:p w14:paraId="0FF5595F" w14:textId="77777777" w:rsidR="002B2D2D" w:rsidRDefault="002B2D2D" w:rsidP="00AD622E">
          <w:pPr>
            <w:pStyle w:val="Brdtekst"/>
            <w:spacing w:after="0"/>
          </w:pPr>
        </w:p>
      </w:tc>
      <w:tc>
        <w:tcPr>
          <w:tcW w:w="1985" w:type="dxa"/>
        </w:tcPr>
        <w:p w14:paraId="0FF55960" w14:textId="77777777" w:rsidR="002B2D2D" w:rsidRPr="00441E78" w:rsidRDefault="002B2D2D" w:rsidP="00AD622E">
          <w:pPr>
            <w:pStyle w:val="Brdtekst"/>
            <w:spacing w:after="0"/>
            <w:rPr>
              <w:rFonts w:ascii="Times New Roman" w:hAnsi="Times New Roman" w:cs="Times New Roman"/>
              <w:b/>
            </w:rPr>
          </w:pPr>
          <w:r w:rsidRPr="00441E78">
            <w:rPr>
              <w:rFonts w:ascii="Times New Roman" w:hAnsi="Times New Roman" w:cs="Times New Roman"/>
              <w:b/>
            </w:rPr>
            <w:t>Fagområde:</w:t>
          </w:r>
        </w:p>
      </w:tc>
      <w:tc>
        <w:tcPr>
          <w:tcW w:w="3260" w:type="dxa"/>
          <w:shd w:val="clear" w:color="auto" w:fill="auto"/>
        </w:tcPr>
        <w:p w14:paraId="0FF55961" w14:textId="77777777" w:rsidR="002B2D2D" w:rsidRPr="00441E78" w:rsidRDefault="002B2D2D" w:rsidP="00AD622E">
          <w:pPr>
            <w:pStyle w:val="Brdtekst"/>
            <w:spacing w:after="0"/>
            <w:rPr>
              <w:rFonts w:ascii="Times New Roman" w:hAnsi="Times New Roman" w:cs="Times New Roman"/>
            </w:rPr>
          </w:pPr>
          <w:r>
            <w:rPr>
              <w:rFonts w:ascii="Times New Roman" w:hAnsi="Times New Roman" w:cs="Times New Roman"/>
            </w:rPr>
            <w:t>Tilsyn</w:t>
          </w:r>
        </w:p>
      </w:tc>
    </w:tr>
    <w:tr w:rsidR="002B2D2D" w14:paraId="0FF55967" w14:textId="77777777" w:rsidTr="18D775C8">
      <w:trPr>
        <w:jc w:val="center"/>
      </w:trPr>
      <w:tc>
        <w:tcPr>
          <w:tcW w:w="2267" w:type="dxa"/>
          <w:vMerge/>
        </w:tcPr>
        <w:p w14:paraId="0FF55963" w14:textId="77777777" w:rsidR="002B2D2D" w:rsidRDefault="002B2D2D" w:rsidP="00AD622E">
          <w:pPr>
            <w:pStyle w:val="Brdtekst"/>
            <w:spacing w:after="0"/>
          </w:pPr>
        </w:p>
      </w:tc>
      <w:tc>
        <w:tcPr>
          <w:tcW w:w="1839" w:type="dxa"/>
          <w:vMerge/>
        </w:tcPr>
        <w:p w14:paraId="0FF55964" w14:textId="77777777" w:rsidR="002B2D2D" w:rsidRDefault="002B2D2D" w:rsidP="00AD622E">
          <w:pPr>
            <w:pStyle w:val="Brdtekst"/>
            <w:spacing w:after="0"/>
          </w:pPr>
        </w:p>
      </w:tc>
      <w:tc>
        <w:tcPr>
          <w:tcW w:w="1985" w:type="dxa"/>
        </w:tcPr>
        <w:p w14:paraId="0FF55965" w14:textId="77777777" w:rsidR="002B2D2D" w:rsidRPr="00441E78" w:rsidRDefault="002B2D2D" w:rsidP="00AD622E">
          <w:pPr>
            <w:pStyle w:val="Brdtekst"/>
            <w:spacing w:after="0"/>
            <w:rPr>
              <w:rFonts w:ascii="Times New Roman" w:hAnsi="Times New Roman" w:cs="Times New Roman"/>
            </w:rPr>
          </w:pPr>
          <w:r w:rsidRPr="00441E78">
            <w:rPr>
              <w:rFonts w:ascii="Times New Roman" w:hAnsi="Times New Roman" w:cs="Times New Roman"/>
              <w:b/>
            </w:rPr>
            <w:t>Godkjent dato</w:t>
          </w:r>
          <w:r w:rsidRPr="00441E78">
            <w:rPr>
              <w:rFonts w:ascii="Times New Roman" w:hAnsi="Times New Roman" w:cs="Times New Roman"/>
            </w:rPr>
            <w:t>:</w:t>
          </w:r>
        </w:p>
      </w:tc>
      <w:tc>
        <w:tcPr>
          <w:tcW w:w="3260" w:type="dxa"/>
          <w:shd w:val="clear" w:color="auto" w:fill="auto"/>
        </w:tcPr>
        <w:p w14:paraId="0FF55966" w14:textId="1D716399" w:rsidR="002B2D2D" w:rsidRPr="00441E78" w:rsidRDefault="00092B07" w:rsidP="001B67C7">
          <w:pPr>
            <w:pStyle w:val="Brdtekst"/>
            <w:spacing w:after="0"/>
            <w:rPr>
              <w:rFonts w:ascii="Times New Roman" w:hAnsi="Times New Roman" w:cs="Times New Roman"/>
            </w:rPr>
          </w:pPr>
          <w:r>
            <w:rPr>
              <w:rFonts w:ascii="Times New Roman" w:hAnsi="Times New Roman" w:cs="Times New Roman"/>
            </w:rPr>
            <w:t>14.12.2020</w:t>
          </w:r>
        </w:p>
      </w:tc>
    </w:tr>
    <w:tr w:rsidR="002B2D2D" w14:paraId="0FF5596C" w14:textId="77777777" w:rsidTr="18D775C8">
      <w:trPr>
        <w:trHeight w:val="250"/>
        <w:jc w:val="center"/>
      </w:trPr>
      <w:tc>
        <w:tcPr>
          <w:tcW w:w="2267" w:type="dxa"/>
          <w:vMerge/>
        </w:tcPr>
        <w:p w14:paraId="0FF55968" w14:textId="77777777" w:rsidR="002B2D2D" w:rsidRDefault="002B2D2D" w:rsidP="00AD622E">
          <w:pPr>
            <w:pStyle w:val="Brdtekst"/>
            <w:spacing w:after="0"/>
          </w:pPr>
        </w:p>
      </w:tc>
      <w:tc>
        <w:tcPr>
          <w:tcW w:w="1839" w:type="dxa"/>
          <w:vMerge/>
        </w:tcPr>
        <w:p w14:paraId="0FF55969" w14:textId="77777777" w:rsidR="002B2D2D" w:rsidRDefault="002B2D2D" w:rsidP="00AD622E">
          <w:pPr>
            <w:pStyle w:val="Brdtekst"/>
            <w:spacing w:after="0"/>
          </w:pPr>
        </w:p>
      </w:tc>
      <w:tc>
        <w:tcPr>
          <w:tcW w:w="1985" w:type="dxa"/>
        </w:tcPr>
        <w:p w14:paraId="0FF5596A" w14:textId="77777777" w:rsidR="002B2D2D" w:rsidRPr="00441E78" w:rsidRDefault="002B2D2D" w:rsidP="00AD622E">
          <w:pPr>
            <w:pStyle w:val="Brdtekst"/>
            <w:spacing w:after="0"/>
            <w:rPr>
              <w:rFonts w:ascii="Times New Roman" w:hAnsi="Times New Roman" w:cs="Times New Roman"/>
            </w:rPr>
          </w:pPr>
          <w:r w:rsidRPr="00441E78">
            <w:rPr>
              <w:rFonts w:ascii="Times New Roman" w:hAnsi="Times New Roman" w:cs="Times New Roman"/>
              <w:b/>
            </w:rPr>
            <w:t>Godkjent av:</w:t>
          </w:r>
        </w:p>
      </w:tc>
      <w:tc>
        <w:tcPr>
          <w:tcW w:w="3260" w:type="dxa"/>
          <w:shd w:val="clear" w:color="auto" w:fill="auto"/>
        </w:tcPr>
        <w:p w14:paraId="0FF5596B" w14:textId="45136767" w:rsidR="002B2D2D" w:rsidRPr="00441E78" w:rsidRDefault="001B67C7" w:rsidP="001B67C7">
          <w:pPr>
            <w:pStyle w:val="Brdtekst"/>
            <w:spacing w:after="0"/>
            <w:rPr>
              <w:rFonts w:ascii="Times New Roman" w:hAnsi="Times New Roman" w:cs="Times New Roman"/>
            </w:rPr>
          </w:pPr>
          <w:r>
            <w:rPr>
              <w:rFonts w:ascii="Times New Roman" w:hAnsi="Times New Roman" w:cs="Times New Roman"/>
            </w:rPr>
            <w:t>DM</w:t>
          </w:r>
        </w:p>
      </w:tc>
    </w:tr>
    <w:tr w:rsidR="002B2D2D" w14:paraId="0FF55971" w14:textId="77777777" w:rsidTr="18D775C8">
      <w:trPr>
        <w:trHeight w:val="250"/>
        <w:jc w:val="center"/>
      </w:trPr>
      <w:tc>
        <w:tcPr>
          <w:tcW w:w="2267" w:type="dxa"/>
          <w:vMerge/>
        </w:tcPr>
        <w:p w14:paraId="0FF5596D" w14:textId="77777777" w:rsidR="002B2D2D" w:rsidRDefault="002B2D2D" w:rsidP="00AD622E">
          <w:pPr>
            <w:pStyle w:val="Brdtekst"/>
            <w:spacing w:after="0"/>
          </w:pPr>
        </w:p>
      </w:tc>
      <w:tc>
        <w:tcPr>
          <w:tcW w:w="1839" w:type="dxa"/>
          <w:vMerge/>
        </w:tcPr>
        <w:p w14:paraId="0FF5596E" w14:textId="77777777" w:rsidR="002B2D2D" w:rsidRDefault="002B2D2D" w:rsidP="00AD622E">
          <w:pPr>
            <w:pStyle w:val="Brdtekst"/>
            <w:spacing w:after="0"/>
          </w:pPr>
        </w:p>
      </w:tc>
      <w:tc>
        <w:tcPr>
          <w:tcW w:w="1985" w:type="dxa"/>
        </w:tcPr>
        <w:p w14:paraId="0FF5596F" w14:textId="77777777" w:rsidR="002B2D2D" w:rsidRPr="00441E78" w:rsidRDefault="002B2D2D" w:rsidP="00D52E32">
          <w:pPr>
            <w:pStyle w:val="Brdtekst"/>
            <w:spacing w:after="0"/>
            <w:rPr>
              <w:rFonts w:ascii="Times New Roman" w:hAnsi="Times New Roman" w:cs="Times New Roman"/>
              <w:b/>
            </w:rPr>
          </w:pPr>
          <w:r w:rsidRPr="00441E78">
            <w:rPr>
              <w:rFonts w:ascii="Times New Roman" w:hAnsi="Times New Roman" w:cs="Times New Roman"/>
              <w:b/>
            </w:rPr>
            <w:t>Utarbeidet av:</w:t>
          </w:r>
        </w:p>
      </w:tc>
      <w:tc>
        <w:tcPr>
          <w:tcW w:w="3260" w:type="dxa"/>
          <w:shd w:val="clear" w:color="auto" w:fill="auto"/>
        </w:tcPr>
        <w:p w14:paraId="0FF55970" w14:textId="693157D8" w:rsidR="002B2D2D" w:rsidRPr="00441E78" w:rsidRDefault="002B2D2D" w:rsidP="00746468">
          <w:pPr>
            <w:pStyle w:val="Brdtekst"/>
            <w:spacing w:after="0"/>
            <w:rPr>
              <w:rFonts w:ascii="Times New Roman" w:hAnsi="Times New Roman" w:cs="Times New Roman"/>
            </w:rPr>
          </w:pPr>
          <w:r>
            <w:rPr>
              <w:rFonts w:ascii="Times New Roman" w:hAnsi="Times New Roman" w:cs="Times New Roman"/>
            </w:rPr>
            <w:t>LBL</w:t>
          </w:r>
          <w:r>
            <w:rPr>
              <w:rFonts w:ascii="Times New Roman" w:hAnsi="Times New Roman" w:cs="Times New Roman"/>
            </w:rPr>
            <w:softHyphen/>
          </w:r>
          <w:r w:rsidRPr="00441E78">
            <w:rPr>
              <w:rFonts w:ascii="Times New Roman" w:hAnsi="Times New Roman" w:cs="Times New Roman"/>
            </w:rPr>
            <w:t>/</w:t>
          </w:r>
          <w:r>
            <w:rPr>
              <w:rFonts w:ascii="Times New Roman" w:hAnsi="Times New Roman" w:cs="Times New Roman"/>
            </w:rPr>
            <w:t>TB</w:t>
          </w:r>
        </w:p>
      </w:tc>
    </w:tr>
    <w:tr w:rsidR="002B2D2D" w14:paraId="0FF55974" w14:textId="77777777" w:rsidTr="18D775C8">
      <w:trPr>
        <w:jc w:val="center"/>
      </w:trPr>
      <w:tc>
        <w:tcPr>
          <w:tcW w:w="2267" w:type="dxa"/>
        </w:tcPr>
        <w:p w14:paraId="0FF55972" w14:textId="77777777" w:rsidR="002B2D2D" w:rsidRPr="00C62685" w:rsidRDefault="002B2D2D" w:rsidP="00AD622E">
          <w:pPr>
            <w:pStyle w:val="Brdtekst"/>
            <w:spacing w:after="0"/>
            <w:rPr>
              <w:rFonts w:ascii="Arial" w:hAnsi="Arial" w:cs="Arial"/>
              <w:b/>
              <w:sz w:val="36"/>
            </w:rPr>
          </w:pPr>
          <w:r w:rsidRPr="00C62685">
            <w:rPr>
              <w:rFonts w:ascii="Arial" w:hAnsi="Arial" w:cs="Arial"/>
              <w:b/>
              <w:sz w:val="32"/>
            </w:rPr>
            <w:t>Tema:</w:t>
          </w:r>
        </w:p>
      </w:tc>
      <w:tc>
        <w:tcPr>
          <w:tcW w:w="7084" w:type="dxa"/>
          <w:gridSpan w:val="3"/>
        </w:tcPr>
        <w:p w14:paraId="0FF55973" w14:textId="1EA3E938" w:rsidR="002B2D2D" w:rsidRPr="00C62685" w:rsidRDefault="001E608B" w:rsidP="002B7D3C">
          <w:pPr>
            <w:pStyle w:val="Brdtekst"/>
            <w:spacing w:after="0"/>
            <w:rPr>
              <w:rFonts w:ascii="Arial" w:hAnsi="Arial" w:cs="Arial"/>
              <w:b/>
              <w:sz w:val="36"/>
            </w:rPr>
          </w:pPr>
          <w:r>
            <w:rPr>
              <w:rFonts w:ascii="Arial" w:hAnsi="Arial" w:cs="Arial"/>
              <w:b/>
              <w:sz w:val="28"/>
            </w:rPr>
            <w:t>Tilsynsplan</w:t>
          </w:r>
          <w:r w:rsidR="002B2D2D">
            <w:rPr>
              <w:rFonts w:ascii="Arial" w:hAnsi="Arial" w:cs="Arial"/>
              <w:b/>
              <w:sz w:val="28"/>
            </w:rPr>
            <w:t xml:space="preserve"> 20</w:t>
          </w:r>
          <w:r w:rsidR="00E541FD">
            <w:rPr>
              <w:rFonts w:ascii="Arial" w:hAnsi="Arial" w:cs="Arial"/>
              <w:b/>
              <w:sz w:val="28"/>
            </w:rPr>
            <w:t>21</w:t>
          </w:r>
        </w:p>
      </w:tc>
    </w:tr>
  </w:tbl>
  <w:p w14:paraId="0FF55975" w14:textId="77777777" w:rsidR="002B2D2D" w:rsidRDefault="002B2D2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744A488"/>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DE424D1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643B39"/>
    <w:multiLevelType w:val="hybridMultilevel"/>
    <w:tmpl w:val="54B64A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D5F55D5"/>
    <w:multiLevelType w:val="hybridMultilevel"/>
    <w:tmpl w:val="37AE63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0724F52"/>
    <w:multiLevelType w:val="hybridMultilevel"/>
    <w:tmpl w:val="942262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2A10999"/>
    <w:multiLevelType w:val="hybridMultilevel"/>
    <w:tmpl w:val="24A6640E"/>
    <w:lvl w:ilvl="0" w:tplc="67E09CA6">
      <w:start w:val="1"/>
      <w:numFmt w:val="upperLetter"/>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6" w15:restartNumberingAfterBreak="0">
    <w:nsid w:val="32DC510F"/>
    <w:multiLevelType w:val="hybridMultilevel"/>
    <w:tmpl w:val="F1FE55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92907E1"/>
    <w:multiLevelType w:val="hybridMultilevel"/>
    <w:tmpl w:val="CF5820C4"/>
    <w:lvl w:ilvl="0" w:tplc="7BA882B6">
      <w:start w:val="1"/>
      <w:numFmt w:val="bullet"/>
      <w:lvlText w:val="•"/>
      <w:lvlJc w:val="left"/>
      <w:pPr>
        <w:tabs>
          <w:tab w:val="num" w:pos="360"/>
        </w:tabs>
        <w:ind w:left="360" w:hanging="360"/>
      </w:pPr>
      <w:rPr>
        <w:rFonts w:ascii="Arial" w:hAnsi="Arial" w:hint="default"/>
      </w:rPr>
    </w:lvl>
    <w:lvl w:ilvl="1" w:tplc="1F207762">
      <w:start w:val="190"/>
      <w:numFmt w:val="bullet"/>
      <w:lvlText w:val="•"/>
      <w:lvlJc w:val="left"/>
      <w:pPr>
        <w:tabs>
          <w:tab w:val="num" w:pos="1080"/>
        </w:tabs>
        <w:ind w:left="1080" w:hanging="360"/>
      </w:pPr>
      <w:rPr>
        <w:rFonts w:ascii="Arial" w:hAnsi="Arial" w:hint="default"/>
      </w:rPr>
    </w:lvl>
    <w:lvl w:ilvl="2" w:tplc="8EA4D584" w:tentative="1">
      <w:start w:val="1"/>
      <w:numFmt w:val="bullet"/>
      <w:lvlText w:val="•"/>
      <w:lvlJc w:val="left"/>
      <w:pPr>
        <w:tabs>
          <w:tab w:val="num" w:pos="1800"/>
        </w:tabs>
        <w:ind w:left="1800" w:hanging="360"/>
      </w:pPr>
      <w:rPr>
        <w:rFonts w:ascii="Arial" w:hAnsi="Arial" w:hint="default"/>
      </w:rPr>
    </w:lvl>
    <w:lvl w:ilvl="3" w:tplc="B5D06D5E" w:tentative="1">
      <w:start w:val="1"/>
      <w:numFmt w:val="bullet"/>
      <w:lvlText w:val="•"/>
      <w:lvlJc w:val="left"/>
      <w:pPr>
        <w:tabs>
          <w:tab w:val="num" w:pos="2520"/>
        </w:tabs>
        <w:ind w:left="2520" w:hanging="360"/>
      </w:pPr>
      <w:rPr>
        <w:rFonts w:ascii="Arial" w:hAnsi="Arial" w:hint="default"/>
      </w:rPr>
    </w:lvl>
    <w:lvl w:ilvl="4" w:tplc="28B62138" w:tentative="1">
      <w:start w:val="1"/>
      <w:numFmt w:val="bullet"/>
      <w:lvlText w:val="•"/>
      <w:lvlJc w:val="left"/>
      <w:pPr>
        <w:tabs>
          <w:tab w:val="num" w:pos="3240"/>
        </w:tabs>
        <w:ind w:left="3240" w:hanging="360"/>
      </w:pPr>
      <w:rPr>
        <w:rFonts w:ascii="Arial" w:hAnsi="Arial" w:hint="default"/>
      </w:rPr>
    </w:lvl>
    <w:lvl w:ilvl="5" w:tplc="D9DEADA6" w:tentative="1">
      <w:start w:val="1"/>
      <w:numFmt w:val="bullet"/>
      <w:lvlText w:val="•"/>
      <w:lvlJc w:val="left"/>
      <w:pPr>
        <w:tabs>
          <w:tab w:val="num" w:pos="3960"/>
        </w:tabs>
        <w:ind w:left="3960" w:hanging="360"/>
      </w:pPr>
      <w:rPr>
        <w:rFonts w:ascii="Arial" w:hAnsi="Arial" w:hint="default"/>
      </w:rPr>
    </w:lvl>
    <w:lvl w:ilvl="6" w:tplc="26223AB4" w:tentative="1">
      <w:start w:val="1"/>
      <w:numFmt w:val="bullet"/>
      <w:lvlText w:val="•"/>
      <w:lvlJc w:val="left"/>
      <w:pPr>
        <w:tabs>
          <w:tab w:val="num" w:pos="4680"/>
        </w:tabs>
        <w:ind w:left="4680" w:hanging="360"/>
      </w:pPr>
      <w:rPr>
        <w:rFonts w:ascii="Arial" w:hAnsi="Arial" w:hint="default"/>
      </w:rPr>
    </w:lvl>
    <w:lvl w:ilvl="7" w:tplc="6E60FC3C" w:tentative="1">
      <w:start w:val="1"/>
      <w:numFmt w:val="bullet"/>
      <w:lvlText w:val="•"/>
      <w:lvlJc w:val="left"/>
      <w:pPr>
        <w:tabs>
          <w:tab w:val="num" w:pos="5400"/>
        </w:tabs>
        <w:ind w:left="5400" w:hanging="360"/>
      </w:pPr>
      <w:rPr>
        <w:rFonts w:ascii="Arial" w:hAnsi="Arial" w:hint="default"/>
      </w:rPr>
    </w:lvl>
    <w:lvl w:ilvl="8" w:tplc="248A3F88"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23C286A"/>
    <w:multiLevelType w:val="hybridMultilevel"/>
    <w:tmpl w:val="4056A1E0"/>
    <w:lvl w:ilvl="0" w:tplc="68700CC6">
      <w:start w:val="1"/>
      <w:numFmt w:val="bullet"/>
      <w:pStyle w:val="NVEpunktmerket"/>
      <w:lvlText w:val=""/>
      <w:lvlJc w:val="left"/>
      <w:pPr>
        <w:ind w:left="1145" w:hanging="360"/>
      </w:pPr>
      <w:rPr>
        <w:rFonts w:ascii="Wingdings" w:hAnsi="Wingdings"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9" w15:restartNumberingAfterBreak="0">
    <w:nsid w:val="469058B5"/>
    <w:multiLevelType w:val="hybridMultilevel"/>
    <w:tmpl w:val="8B4C8E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4FCC0BE1"/>
    <w:multiLevelType w:val="hybridMultilevel"/>
    <w:tmpl w:val="E698E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D2639D2"/>
    <w:multiLevelType w:val="hybridMultilevel"/>
    <w:tmpl w:val="F1D2C6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50E1937"/>
    <w:multiLevelType w:val="hybridMultilevel"/>
    <w:tmpl w:val="FFB67C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1495412"/>
    <w:multiLevelType w:val="hybridMultilevel"/>
    <w:tmpl w:val="D81C54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4A1058D"/>
    <w:multiLevelType w:val="hybridMultilevel"/>
    <w:tmpl w:val="1F4624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7345362"/>
    <w:multiLevelType w:val="hybridMultilevel"/>
    <w:tmpl w:val="48D0C732"/>
    <w:lvl w:ilvl="0" w:tplc="DE424D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8466DB0"/>
    <w:multiLevelType w:val="hybridMultilevel"/>
    <w:tmpl w:val="8C9251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0"/>
  </w:num>
  <w:num w:numId="5">
    <w:abstractNumId w:val="5"/>
  </w:num>
  <w:num w:numId="6">
    <w:abstractNumId w:val="9"/>
  </w:num>
  <w:num w:numId="7">
    <w:abstractNumId w:val="3"/>
  </w:num>
  <w:num w:numId="8">
    <w:abstractNumId w:val="4"/>
  </w:num>
  <w:num w:numId="9">
    <w:abstractNumId w:val="13"/>
  </w:num>
  <w:num w:numId="10">
    <w:abstractNumId w:val="12"/>
  </w:num>
  <w:num w:numId="11">
    <w:abstractNumId w:val="11"/>
  </w:num>
  <w:num w:numId="12">
    <w:abstractNumId w:val="14"/>
  </w:num>
  <w:num w:numId="13">
    <w:abstractNumId w:val="2"/>
  </w:num>
  <w:num w:numId="14">
    <w:abstractNumId w:val="7"/>
  </w:num>
  <w:num w:numId="15">
    <w:abstractNumId w:val="6"/>
  </w:num>
  <w:num w:numId="16">
    <w:abstractNumId w:val="16"/>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nb-NO" w:vendorID="64" w:dllVersion="6" w:nlCheck="1" w:checkStyle="0"/>
  <w:activeWritingStyle w:appName="MSWord" w:lang="nb-N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F8"/>
    <w:rsid w:val="00000B0B"/>
    <w:rsid w:val="00014394"/>
    <w:rsid w:val="000159B8"/>
    <w:rsid w:val="0002602C"/>
    <w:rsid w:val="00042E9C"/>
    <w:rsid w:val="000478A3"/>
    <w:rsid w:val="000515C1"/>
    <w:rsid w:val="0005361E"/>
    <w:rsid w:val="000557D7"/>
    <w:rsid w:val="00060CE2"/>
    <w:rsid w:val="00061D18"/>
    <w:rsid w:val="00075E8E"/>
    <w:rsid w:val="000877BA"/>
    <w:rsid w:val="00092B07"/>
    <w:rsid w:val="00094524"/>
    <w:rsid w:val="000A7110"/>
    <w:rsid w:val="000B648A"/>
    <w:rsid w:val="000B6F72"/>
    <w:rsid w:val="000C035E"/>
    <w:rsid w:val="000C6111"/>
    <w:rsid w:val="000D012D"/>
    <w:rsid w:val="000E3277"/>
    <w:rsid w:val="000E643C"/>
    <w:rsid w:val="000E7078"/>
    <w:rsid w:val="0010172C"/>
    <w:rsid w:val="00111156"/>
    <w:rsid w:val="001163D5"/>
    <w:rsid w:val="00135392"/>
    <w:rsid w:val="00137637"/>
    <w:rsid w:val="00144787"/>
    <w:rsid w:val="00145FCF"/>
    <w:rsid w:val="00150F0D"/>
    <w:rsid w:val="00153ED8"/>
    <w:rsid w:val="00165B75"/>
    <w:rsid w:val="00167EB3"/>
    <w:rsid w:val="00175216"/>
    <w:rsid w:val="00193F06"/>
    <w:rsid w:val="0019636D"/>
    <w:rsid w:val="001A2421"/>
    <w:rsid w:val="001A62B2"/>
    <w:rsid w:val="001B67C7"/>
    <w:rsid w:val="001C66FE"/>
    <w:rsid w:val="001C671E"/>
    <w:rsid w:val="001D01DF"/>
    <w:rsid w:val="001D3E6F"/>
    <w:rsid w:val="001D7310"/>
    <w:rsid w:val="001E608B"/>
    <w:rsid w:val="001E62C9"/>
    <w:rsid w:val="001F07C2"/>
    <w:rsid w:val="001F0871"/>
    <w:rsid w:val="001F1C56"/>
    <w:rsid w:val="00205BBB"/>
    <w:rsid w:val="00210977"/>
    <w:rsid w:val="00211630"/>
    <w:rsid w:val="002165E1"/>
    <w:rsid w:val="0021789F"/>
    <w:rsid w:val="002239D6"/>
    <w:rsid w:val="00236BFB"/>
    <w:rsid w:val="00240646"/>
    <w:rsid w:val="00253532"/>
    <w:rsid w:val="00261839"/>
    <w:rsid w:val="00273152"/>
    <w:rsid w:val="002823B3"/>
    <w:rsid w:val="00286BA5"/>
    <w:rsid w:val="002876BE"/>
    <w:rsid w:val="002B10DD"/>
    <w:rsid w:val="002B1D58"/>
    <w:rsid w:val="002B2D2D"/>
    <w:rsid w:val="002B4451"/>
    <w:rsid w:val="002B50A3"/>
    <w:rsid w:val="002B7D3C"/>
    <w:rsid w:val="002C1317"/>
    <w:rsid w:val="002C4828"/>
    <w:rsid w:val="002D32D6"/>
    <w:rsid w:val="002E33B0"/>
    <w:rsid w:val="002E42BD"/>
    <w:rsid w:val="002E59CF"/>
    <w:rsid w:val="002E7CD4"/>
    <w:rsid w:val="002F24C3"/>
    <w:rsid w:val="00312540"/>
    <w:rsid w:val="003126C8"/>
    <w:rsid w:val="003138E5"/>
    <w:rsid w:val="003141FB"/>
    <w:rsid w:val="00327A2B"/>
    <w:rsid w:val="0033435E"/>
    <w:rsid w:val="00336861"/>
    <w:rsid w:val="00340466"/>
    <w:rsid w:val="0034287D"/>
    <w:rsid w:val="00342B1D"/>
    <w:rsid w:val="00343B20"/>
    <w:rsid w:val="003509C3"/>
    <w:rsid w:val="00367848"/>
    <w:rsid w:val="00380348"/>
    <w:rsid w:val="003867C0"/>
    <w:rsid w:val="003873D0"/>
    <w:rsid w:val="00391BB3"/>
    <w:rsid w:val="00392A5E"/>
    <w:rsid w:val="003B3CE1"/>
    <w:rsid w:val="003B6738"/>
    <w:rsid w:val="003C19BE"/>
    <w:rsid w:val="003C757E"/>
    <w:rsid w:val="003D0C15"/>
    <w:rsid w:val="003D0D61"/>
    <w:rsid w:val="003D37C7"/>
    <w:rsid w:val="003D71B0"/>
    <w:rsid w:val="003D7F7E"/>
    <w:rsid w:val="003E2F5D"/>
    <w:rsid w:val="003F0770"/>
    <w:rsid w:val="00415BC6"/>
    <w:rsid w:val="00417C4A"/>
    <w:rsid w:val="00424054"/>
    <w:rsid w:val="00427E4B"/>
    <w:rsid w:val="00432BBD"/>
    <w:rsid w:val="00441E78"/>
    <w:rsid w:val="00455558"/>
    <w:rsid w:val="00467397"/>
    <w:rsid w:val="00472D24"/>
    <w:rsid w:val="004777A3"/>
    <w:rsid w:val="00480644"/>
    <w:rsid w:val="004A1B13"/>
    <w:rsid w:val="004A2E87"/>
    <w:rsid w:val="004B0E3E"/>
    <w:rsid w:val="004B3795"/>
    <w:rsid w:val="004B387D"/>
    <w:rsid w:val="004B3CDD"/>
    <w:rsid w:val="004D4CDB"/>
    <w:rsid w:val="004D5F55"/>
    <w:rsid w:val="004E4A79"/>
    <w:rsid w:val="004E762F"/>
    <w:rsid w:val="004F0935"/>
    <w:rsid w:val="004F69C6"/>
    <w:rsid w:val="004F72E8"/>
    <w:rsid w:val="005001B4"/>
    <w:rsid w:val="00506300"/>
    <w:rsid w:val="005101EE"/>
    <w:rsid w:val="0051197D"/>
    <w:rsid w:val="005156D4"/>
    <w:rsid w:val="005165BC"/>
    <w:rsid w:val="0051720A"/>
    <w:rsid w:val="00520FB9"/>
    <w:rsid w:val="0052622A"/>
    <w:rsid w:val="00532D50"/>
    <w:rsid w:val="0053397E"/>
    <w:rsid w:val="00542039"/>
    <w:rsid w:val="00543ED9"/>
    <w:rsid w:val="00553867"/>
    <w:rsid w:val="00553DF7"/>
    <w:rsid w:val="00555461"/>
    <w:rsid w:val="00560485"/>
    <w:rsid w:val="00565683"/>
    <w:rsid w:val="005664D2"/>
    <w:rsid w:val="0056695C"/>
    <w:rsid w:val="00570681"/>
    <w:rsid w:val="0057256F"/>
    <w:rsid w:val="00591C94"/>
    <w:rsid w:val="00595692"/>
    <w:rsid w:val="005A4CA5"/>
    <w:rsid w:val="005B3BAD"/>
    <w:rsid w:val="005C02AE"/>
    <w:rsid w:val="005D1925"/>
    <w:rsid w:val="005E15E3"/>
    <w:rsid w:val="005F4AEE"/>
    <w:rsid w:val="005F7D59"/>
    <w:rsid w:val="00603A42"/>
    <w:rsid w:val="006071A6"/>
    <w:rsid w:val="0060791B"/>
    <w:rsid w:val="00611CFD"/>
    <w:rsid w:val="00615C4E"/>
    <w:rsid w:val="00630B6F"/>
    <w:rsid w:val="006345FF"/>
    <w:rsid w:val="00635E32"/>
    <w:rsid w:val="00636D3F"/>
    <w:rsid w:val="006403E0"/>
    <w:rsid w:val="00663359"/>
    <w:rsid w:val="006677E8"/>
    <w:rsid w:val="00670F2E"/>
    <w:rsid w:val="00670FBA"/>
    <w:rsid w:val="00671D70"/>
    <w:rsid w:val="006729F7"/>
    <w:rsid w:val="006764E3"/>
    <w:rsid w:val="00690512"/>
    <w:rsid w:val="00695D82"/>
    <w:rsid w:val="006A3D9C"/>
    <w:rsid w:val="006B04BF"/>
    <w:rsid w:val="006B64D9"/>
    <w:rsid w:val="006C0E5C"/>
    <w:rsid w:val="006C256C"/>
    <w:rsid w:val="006C2AA4"/>
    <w:rsid w:val="006D71C9"/>
    <w:rsid w:val="006E0878"/>
    <w:rsid w:val="006E0F47"/>
    <w:rsid w:val="0070008B"/>
    <w:rsid w:val="007015E0"/>
    <w:rsid w:val="007050FC"/>
    <w:rsid w:val="00712280"/>
    <w:rsid w:val="00725165"/>
    <w:rsid w:val="00731D88"/>
    <w:rsid w:val="00733DD8"/>
    <w:rsid w:val="00736A73"/>
    <w:rsid w:val="007372E3"/>
    <w:rsid w:val="007402DF"/>
    <w:rsid w:val="00742316"/>
    <w:rsid w:val="00746468"/>
    <w:rsid w:val="00747D95"/>
    <w:rsid w:val="0075572C"/>
    <w:rsid w:val="00757376"/>
    <w:rsid w:val="00757686"/>
    <w:rsid w:val="0076191B"/>
    <w:rsid w:val="00764F4B"/>
    <w:rsid w:val="00771F0E"/>
    <w:rsid w:val="00772CF3"/>
    <w:rsid w:val="00773DBB"/>
    <w:rsid w:val="00781093"/>
    <w:rsid w:val="00786B78"/>
    <w:rsid w:val="00791308"/>
    <w:rsid w:val="007922F5"/>
    <w:rsid w:val="00793C5C"/>
    <w:rsid w:val="0079452E"/>
    <w:rsid w:val="00796A82"/>
    <w:rsid w:val="00797819"/>
    <w:rsid w:val="007B1F37"/>
    <w:rsid w:val="007B5B31"/>
    <w:rsid w:val="007C32DE"/>
    <w:rsid w:val="007C3A20"/>
    <w:rsid w:val="007C44C3"/>
    <w:rsid w:val="007C7C96"/>
    <w:rsid w:val="007D7BFF"/>
    <w:rsid w:val="00805C89"/>
    <w:rsid w:val="00814222"/>
    <w:rsid w:val="008220A7"/>
    <w:rsid w:val="008273DE"/>
    <w:rsid w:val="008300BF"/>
    <w:rsid w:val="00830DFB"/>
    <w:rsid w:val="00832F04"/>
    <w:rsid w:val="00847201"/>
    <w:rsid w:val="0085078B"/>
    <w:rsid w:val="00851A82"/>
    <w:rsid w:val="00855E87"/>
    <w:rsid w:val="00866451"/>
    <w:rsid w:val="00880A50"/>
    <w:rsid w:val="00880BB3"/>
    <w:rsid w:val="00891F94"/>
    <w:rsid w:val="0089295B"/>
    <w:rsid w:val="00892FA0"/>
    <w:rsid w:val="008961B0"/>
    <w:rsid w:val="008A3C47"/>
    <w:rsid w:val="008A6420"/>
    <w:rsid w:val="008B47EB"/>
    <w:rsid w:val="008B556C"/>
    <w:rsid w:val="008B6D7A"/>
    <w:rsid w:val="008D02D6"/>
    <w:rsid w:val="008D1004"/>
    <w:rsid w:val="008D132D"/>
    <w:rsid w:val="008D2CD9"/>
    <w:rsid w:val="008D6F28"/>
    <w:rsid w:val="008D75A6"/>
    <w:rsid w:val="008E26CD"/>
    <w:rsid w:val="008E506F"/>
    <w:rsid w:val="008F059F"/>
    <w:rsid w:val="008F205A"/>
    <w:rsid w:val="008F63AD"/>
    <w:rsid w:val="008F76F6"/>
    <w:rsid w:val="00900A7E"/>
    <w:rsid w:val="00907129"/>
    <w:rsid w:val="00907ECC"/>
    <w:rsid w:val="009137BA"/>
    <w:rsid w:val="0091538D"/>
    <w:rsid w:val="00917C2E"/>
    <w:rsid w:val="00920A99"/>
    <w:rsid w:val="00927A4F"/>
    <w:rsid w:val="00937E0F"/>
    <w:rsid w:val="0094285A"/>
    <w:rsid w:val="009430BE"/>
    <w:rsid w:val="00943A52"/>
    <w:rsid w:val="00945BAE"/>
    <w:rsid w:val="00952D2A"/>
    <w:rsid w:val="009530F2"/>
    <w:rsid w:val="009534AE"/>
    <w:rsid w:val="009565A2"/>
    <w:rsid w:val="009605D4"/>
    <w:rsid w:val="00962F9D"/>
    <w:rsid w:val="00967341"/>
    <w:rsid w:val="0096766D"/>
    <w:rsid w:val="009723B7"/>
    <w:rsid w:val="00976300"/>
    <w:rsid w:val="009827C0"/>
    <w:rsid w:val="00985183"/>
    <w:rsid w:val="009852F0"/>
    <w:rsid w:val="009A742C"/>
    <w:rsid w:val="009B070A"/>
    <w:rsid w:val="009B3690"/>
    <w:rsid w:val="009B4A0D"/>
    <w:rsid w:val="009B7591"/>
    <w:rsid w:val="009C346E"/>
    <w:rsid w:val="009C4C64"/>
    <w:rsid w:val="009D1651"/>
    <w:rsid w:val="009D2951"/>
    <w:rsid w:val="009D677E"/>
    <w:rsid w:val="009F7254"/>
    <w:rsid w:val="00A004C0"/>
    <w:rsid w:val="00A00BD4"/>
    <w:rsid w:val="00A038D4"/>
    <w:rsid w:val="00A21A72"/>
    <w:rsid w:val="00A23040"/>
    <w:rsid w:val="00A24658"/>
    <w:rsid w:val="00A26D5D"/>
    <w:rsid w:val="00A3473C"/>
    <w:rsid w:val="00A362AA"/>
    <w:rsid w:val="00A5076D"/>
    <w:rsid w:val="00A514FF"/>
    <w:rsid w:val="00A56A72"/>
    <w:rsid w:val="00A57173"/>
    <w:rsid w:val="00A66C33"/>
    <w:rsid w:val="00A71801"/>
    <w:rsid w:val="00A72E77"/>
    <w:rsid w:val="00A7647E"/>
    <w:rsid w:val="00A8171D"/>
    <w:rsid w:val="00A85FFD"/>
    <w:rsid w:val="00A93045"/>
    <w:rsid w:val="00AA66A4"/>
    <w:rsid w:val="00AB0FB4"/>
    <w:rsid w:val="00AB120B"/>
    <w:rsid w:val="00AC7B19"/>
    <w:rsid w:val="00AD0F45"/>
    <w:rsid w:val="00AD1924"/>
    <w:rsid w:val="00AD622E"/>
    <w:rsid w:val="00AD6ACF"/>
    <w:rsid w:val="00AE1429"/>
    <w:rsid w:val="00AE212A"/>
    <w:rsid w:val="00AE334C"/>
    <w:rsid w:val="00AE6841"/>
    <w:rsid w:val="00AF598E"/>
    <w:rsid w:val="00B02BF8"/>
    <w:rsid w:val="00B03738"/>
    <w:rsid w:val="00B046D2"/>
    <w:rsid w:val="00B04A1D"/>
    <w:rsid w:val="00B10E10"/>
    <w:rsid w:val="00B3663C"/>
    <w:rsid w:val="00B37D32"/>
    <w:rsid w:val="00B4436A"/>
    <w:rsid w:val="00B44AE5"/>
    <w:rsid w:val="00B52A3F"/>
    <w:rsid w:val="00B55C9A"/>
    <w:rsid w:val="00B64ED8"/>
    <w:rsid w:val="00B66C37"/>
    <w:rsid w:val="00B707E1"/>
    <w:rsid w:val="00B7254E"/>
    <w:rsid w:val="00B87904"/>
    <w:rsid w:val="00B92039"/>
    <w:rsid w:val="00B94524"/>
    <w:rsid w:val="00BB1646"/>
    <w:rsid w:val="00BC4E41"/>
    <w:rsid w:val="00BC616D"/>
    <w:rsid w:val="00BD2B4E"/>
    <w:rsid w:val="00BD2F75"/>
    <w:rsid w:val="00BE3895"/>
    <w:rsid w:val="00BE3997"/>
    <w:rsid w:val="00BE7C6C"/>
    <w:rsid w:val="00BF46A5"/>
    <w:rsid w:val="00BF5598"/>
    <w:rsid w:val="00BF5790"/>
    <w:rsid w:val="00C00BBF"/>
    <w:rsid w:val="00C01144"/>
    <w:rsid w:val="00C019B7"/>
    <w:rsid w:val="00C02627"/>
    <w:rsid w:val="00C12F16"/>
    <w:rsid w:val="00C15798"/>
    <w:rsid w:val="00C15EF3"/>
    <w:rsid w:val="00C16A7A"/>
    <w:rsid w:val="00C21F1A"/>
    <w:rsid w:val="00C24B09"/>
    <w:rsid w:val="00C32F9A"/>
    <w:rsid w:val="00C35266"/>
    <w:rsid w:val="00C360DE"/>
    <w:rsid w:val="00C37398"/>
    <w:rsid w:val="00C402EF"/>
    <w:rsid w:val="00C475EE"/>
    <w:rsid w:val="00C51209"/>
    <w:rsid w:val="00C530C7"/>
    <w:rsid w:val="00C55C39"/>
    <w:rsid w:val="00C62685"/>
    <w:rsid w:val="00C671DD"/>
    <w:rsid w:val="00C671FF"/>
    <w:rsid w:val="00C73A1A"/>
    <w:rsid w:val="00C7541B"/>
    <w:rsid w:val="00C8347A"/>
    <w:rsid w:val="00C8696A"/>
    <w:rsid w:val="00C95A4B"/>
    <w:rsid w:val="00CA05DD"/>
    <w:rsid w:val="00CA33C9"/>
    <w:rsid w:val="00CA7FEC"/>
    <w:rsid w:val="00CB08A8"/>
    <w:rsid w:val="00CB2082"/>
    <w:rsid w:val="00CB7A35"/>
    <w:rsid w:val="00CB7E23"/>
    <w:rsid w:val="00CC3EB2"/>
    <w:rsid w:val="00CC730E"/>
    <w:rsid w:val="00CD0F69"/>
    <w:rsid w:val="00CE2793"/>
    <w:rsid w:val="00CF39C4"/>
    <w:rsid w:val="00D031CF"/>
    <w:rsid w:val="00D1430A"/>
    <w:rsid w:val="00D1606D"/>
    <w:rsid w:val="00D17ADC"/>
    <w:rsid w:val="00D236BC"/>
    <w:rsid w:val="00D24525"/>
    <w:rsid w:val="00D300DC"/>
    <w:rsid w:val="00D31E26"/>
    <w:rsid w:val="00D35ACD"/>
    <w:rsid w:val="00D52E32"/>
    <w:rsid w:val="00D55201"/>
    <w:rsid w:val="00D643A6"/>
    <w:rsid w:val="00D64539"/>
    <w:rsid w:val="00D6486C"/>
    <w:rsid w:val="00D66260"/>
    <w:rsid w:val="00D66460"/>
    <w:rsid w:val="00D7036F"/>
    <w:rsid w:val="00D747CA"/>
    <w:rsid w:val="00D763B9"/>
    <w:rsid w:val="00D91F18"/>
    <w:rsid w:val="00D94636"/>
    <w:rsid w:val="00DA48B0"/>
    <w:rsid w:val="00DA5F30"/>
    <w:rsid w:val="00DB6469"/>
    <w:rsid w:val="00DC01F9"/>
    <w:rsid w:val="00DC0E59"/>
    <w:rsid w:val="00DC121B"/>
    <w:rsid w:val="00DD3542"/>
    <w:rsid w:val="00DF1245"/>
    <w:rsid w:val="00DF33B0"/>
    <w:rsid w:val="00E125E7"/>
    <w:rsid w:val="00E2482C"/>
    <w:rsid w:val="00E26839"/>
    <w:rsid w:val="00E26F40"/>
    <w:rsid w:val="00E3018C"/>
    <w:rsid w:val="00E30E6D"/>
    <w:rsid w:val="00E34C31"/>
    <w:rsid w:val="00E37B1E"/>
    <w:rsid w:val="00E427B4"/>
    <w:rsid w:val="00E451E0"/>
    <w:rsid w:val="00E541FD"/>
    <w:rsid w:val="00E8221C"/>
    <w:rsid w:val="00E90D35"/>
    <w:rsid w:val="00E970D5"/>
    <w:rsid w:val="00EA6BA3"/>
    <w:rsid w:val="00EA74B4"/>
    <w:rsid w:val="00EB4B28"/>
    <w:rsid w:val="00EC5199"/>
    <w:rsid w:val="00EC648A"/>
    <w:rsid w:val="00EC7B3F"/>
    <w:rsid w:val="00EC7F07"/>
    <w:rsid w:val="00ED082E"/>
    <w:rsid w:val="00ED0C77"/>
    <w:rsid w:val="00EE26D5"/>
    <w:rsid w:val="00EE364C"/>
    <w:rsid w:val="00EE3FA9"/>
    <w:rsid w:val="00EE6018"/>
    <w:rsid w:val="00F02167"/>
    <w:rsid w:val="00F113F5"/>
    <w:rsid w:val="00F20940"/>
    <w:rsid w:val="00F2691F"/>
    <w:rsid w:val="00F30172"/>
    <w:rsid w:val="00F36E80"/>
    <w:rsid w:val="00F40308"/>
    <w:rsid w:val="00F40408"/>
    <w:rsid w:val="00F41326"/>
    <w:rsid w:val="00F47DE1"/>
    <w:rsid w:val="00F50E29"/>
    <w:rsid w:val="00F56D1C"/>
    <w:rsid w:val="00F6744B"/>
    <w:rsid w:val="00F917CA"/>
    <w:rsid w:val="00FB5B1D"/>
    <w:rsid w:val="00FB6690"/>
    <w:rsid w:val="00FC2F3E"/>
    <w:rsid w:val="00FD75DF"/>
    <w:rsid w:val="00FE3BCC"/>
    <w:rsid w:val="00FE52A9"/>
    <w:rsid w:val="00FF6C51"/>
    <w:rsid w:val="0272BC29"/>
    <w:rsid w:val="0520D4AF"/>
    <w:rsid w:val="07EA5284"/>
    <w:rsid w:val="0AB68833"/>
    <w:rsid w:val="11CCD8BE"/>
    <w:rsid w:val="148E82C4"/>
    <w:rsid w:val="14D1393D"/>
    <w:rsid w:val="17985E60"/>
    <w:rsid w:val="18D775C8"/>
    <w:rsid w:val="1A26A3FA"/>
    <w:rsid w:val="20F52A4B"/>
    <w:rsid w:val="21920529"/>
    <w:rsid w:val="2404567A"/>
    <w:rsid w:val="260C636D"/>
    <w:rsid w:val="2651ED74"/>
    <w:rsid w:val="26DFBD92"/>
    <w:rsid w:val="28291741"/>
    <w:rsid w:val="2AA3976C"/>
    <w:rsid w:val="2AB5021D"/>
    <w:rsid w:val="2DFE66C4"/>
    <w:rsid w:val="3044AF5C"/>
    <w:rsid w:val="3C9B2460"/>
    <w:rsid w:val="3E49B224"/>
    <w:rsid w:val="41C59028"/>
    <w:rsid w:val="42838084"/>
    <w:rsid w:val="438AE50F"/>
    <w:rsid w:val="44E466AB"/>
    <w:rsid w:val="454CA2C3"/>
    <w:rsid w:val="49343E79"/>
    <w:rsid w:val="497294CC"/>
    <w:rsid w:val="49A4D5BB"/>
    <w:rsid w:val="4A01F456"/>
    <w:rsid w:val="4AF7AF87"/>
    <w:rsid w:val="4ECB7962"/>
    <w:rsid w:val="50D5D5EF"/>
    <w:rsid w:val="50FA341C"/>
    <w:rsid w:val="56C3C034"/>
    <w:rsid w:val="5A51CC1C"/>
    <w:rsid w:val="5E3967D2"/>
    <w:rsid w:val="655EC6DD"/>
    <w:rsid w:val="6635655D"/>
    <w:rsid w:val="6A24D3F6"/>
    <w:rsid w:val="6CB060B4"/>
    <w:rsid w:val="6F6C92E2"/>
    <w:rsid w:val="71CD9D69"/>
    <w:rsid w:val="764BCCE5"/>
    <w:rsid w:val="7D5CEA04"/>
    <w:rsid w:val="7E8B2072"/>
    <w:rsid w:val="7F37586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F55762"/>
  <w15:chartTrackingRefBased/>
  <w15:docId w15:val="{6D32F7D1-0B45-441D-8FED-D0259003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nb-NO" w:eastAsia="nb-NO"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144"/>
    <w:rPr>
      <w:rFonts w:ascii="Times" w:hAnsi="Times" w:cs="Times"/>
    </w:rPr>
  </w:style>
  <w:style w:type="paragraph" w:styleId="Overskrift1">
    <w:name w:val="heading 1"/>
    <w:basedOn w:val="Normal"/>
    <w:next w:val="Brdtekst"/>
    <w:qFormat/>
    <w:rsid w:val="00391BB3"/>
    <w:pPr>
      <w:keepNext/>
      <w:spacing w:before="240" w:after="120"/>
      <w:outlineLvl w:val="0"/>
    </w:pPr>
    <w:rPr>
      <w:b/>
      <w:bCs/>
      <w:kern w:val="28"/>
      <w:sz w:val="26"/>
      <w:szCs w:val="26"/>
    </w:rPr>
  </w:style>
  <w:style w:type="paragraph" w:styleId="Overskrift2">
    <w:name w:val="heading 2"/>
    <w:basedOn w:val="Normal"/>
    <w:next w:val="Brdtekst"/>
    <w:qFormat/>
    <w:rsid w:val="00391BB3"/>
    <w:pPr>
      <w:spacing w:before="240" w:after="120"/>
      <w:outlineLvl w:val="1"/>
    </w:pPr>
    <w:rPr>
      <w:b/>
      <w:bCs/>
    </w:rPr>
  </w:style>
  <w:style w:type="paragraph" w:styleId="Overskrift3">
    <w:name w:val="heading 3"/>
    <w:basedOn w:val="Normal"/>
    <w:next w:val="Brdtekst"/>
    <w:qFormat/>
    <w:rsid w:val="00391BB3"/>
    <w:pPr>
      <w:spacing w:before="240" w:after="120"/>
      <w:outlineLvl w:val="2"/>
    </w:pPr>
    <w:rPr>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VEpunktmerket">
    <w:name w:val="NVE punktmerket"/>
    <w:basedOn w:val="Brdtekst"/>
    <w:qFormat/>
    <w:rsid w:val="00A004C0"/>
    <w:pPr>
      <w:numPr>
        <w:numId w:val="2"/>
      </w:numPr>
      <w:spacing w:after="60"/>
      <w:ind w:left="850" w:hanging="425"/>
    </w:pPr>
  </w:style>
  <w:style w:type="paragraph" w:styleId="Brdtekst">
    <w:name w:val="Body Text"/>
    <w:basedOn w:val="Normal"/>
    <w:link w:val="BrdtekstTegn"/>
    <w:qFormat/>
    <w:rsid w:val="00AE334C"/>
    <w:pPr>
      <w:spacing w:after="160"/>
    </w:pPr>
  </w:style>
  <w:style w:type="paragraph" w:styleId="Tittel">
    <w:name w:val="Title"/>
    <w:basedOn w:val="Normal"/>
    <w:next w:val="Brdtekst"/>
    <w:qFormat/>
    <w:rsid w:val="00391BB3"/>
    <w:pPr>
      <w:spacing w:before="240" w:after="120" w:line="320" w:lineRule="atLeast"/>
      <w:outlineLvl w:val="0"/>
    </w:pPr>
    <w:rPr>
      <w:b/>
      <w:bCs/>
      <w:kern w:val="28"/>
      <w:sz w:val="30"/>
      <w:szCs w:val="30"/>
    </w:rPr>
  </w:style>
  <w:style w:type="paragraph" w:customStyle="1" w:styleId="Ingress">
    <w:name w:val="Ingress"/>
    <w:basedOn w:val="Brdtekst"/>
    <w:next w:val="Brdtekst"/>
    <w:rsid w:val="00A004C0"/>
    <w:pPr>
      <w:spacing w:before="100"/>
    </w:pPr>
    <w:rPr>
      <w:b/>
    </w:rPr>
  </w:style>
  <w:style w:type="paragraph" w:styleId="Nummerertliste">
    <w:name w:val="List Number"/>
    <w:aliases w:val="NVE nummerert liste"/>
    <w:basedOn w:val="Normal"/>
    <w:qFormat/>
    <w:rsid w:val="00A26D5D"/>
    <w:pPr>
      <w:numPr>
        <w:numId w:val="4"/>
      </w:numPr>
      <w:tabs>
        <w:tab w:val="clear" w:pos="360"/>
        <w:tab w:val="left" w:pos="851"/>
      </w:tabs>
      <w:spacing w:after="60"/>
      <w:ind w:left="850" w:hanging="425"/>
    </w:pPr>
    <w:rPr>
      <w:lang w:val="nn-NO"/>
    </w:rPr>
  </w:style>
  <w:style w:type="paragraph" w:customStyle="1" w:styleId="NVESitat">
    <w:name w:val="NVE Sitat"/>
    <w:basedOn w:val="Brdtekst"/>
    <w:qFormat/>
    <w:rsid w:val="00AE334C"/>
    <w:pPr>
      <w:ind w:left="709"/>
    </w:pPr>
    <w:rPr>
      <w:i/>
    </w:rPr>
  </w:style>
  <w:style w:type="paragraph" w:styleId="Sluttnotetekst">
    <w:name w:val="endnote text"/>
    <w:basedOn w:val="Normal"/>
    <w:link w:val="SluttnotetekstTegn"/>
    <w:rsid w:val="000877BA"/>
    <w:pPr>
      <w:spacing w:line="240" w:lineRule="auto"/>
    </w:pPr>
    <w:rPr>
      <w:sz w:val="20"/>
      <w:szCs w:val="20"/>
    </w:rPr>
  </w:style>
  <w:style w:type="character" w:customStyle="1" w:styleId="SluttnotetekstTegn">
    <w:name w:val="Sluttnotetekst Tegn"/>
    <w:basedOn w:val="Standardskriftforavsnitt"/>
    <w:link w:val="Sluttnotetekst"/>
    <w:rsid w:val="000877BA"/>
    <w:rPr>
      <w:rFonts w:ascii="Times" w:hAnsi="Times" w:cs="Times"/>
      <w:sz w:val="20"/>
      <w:szCs w:val="20"/>
    </w:rPr>
  </w:style>
  <w:style w:type="character" w:styleId="Sluttnotereferanse">
    <w:name w:val="endnote reference"/>
    <w:basedOn w:val="Standardskriftforavsnitt"/>
    <w:rsid w:val="000877BA"/>
    <w:rPr>
      <w:vertAlign w:val="superscript"/>
    </w:rPr>
  </w:style>
  <w:style w:type="paragraph" w:styleId="Topptekst">
    <w:name w:val="header"/>
    <w:basedOn w:val="Normal"/>
    <w:link w:val="TopptekstTegn"/>
    <w:unhideWhenUsed/>
    <w:rsid w:val="00B02BF8"/>
    <w:pPr>
      <w:tabs>
        <w:tab w:val="center" w:pos="4536"/>
        <w:tab w:val="right" w:pos="9072"/>
      </w:tabs>
      <w:spacing w:line="240" w:lineRule="auto"/>
    </w:pPr>
  </w:style>
  <w:style w:type="character" w:customStyle="1" w:styleId="TopptekstTegn">
    <w:name w:val="Topptekst Tegn"/>
    <w:basedOn w:val="Standardskriftforavsnitt"/>
    <w:link w:val="Topptekst"/>
    <w:rsid w:val="00B02BF8"/>
    <w:rPr>
      <w:rFonts w:ascii="Times" w:hAnsi="Times" w:cs="Times"/>
    </w:rPr>
  </w:style>
  <w:style w:type="paragraph" w:styleId="Bunntekst">
    <w:name w:val="footer"/>
    <w:basedOn w:val="Normal"/>
    <w:link w:val="BunntekstTegn"/>
    <w:uiPriority w:val="99"/>
    <w:unhideWhenUsed/>
    <w:rsid w:val="00B02BF8"/>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B02BF8"/>
    <w:rPr>
      <w:rFonts w:ascii="Times" w:hAnsi="Times" w:cs="Times"/>
    </w:rPr>
  </w:style>
  <w:style w:type="table" w:styleId="Tabellrutenett">
    <w:name w:val="Table Grid"/>
    <w:basedOn w:val="Vanligtabell"/>
    <w:rsid w:val="00B02B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kstTegn">
    <w:name w:val="Brødtekst Tegn"/>
    <w:basedOn w:val="Standardskriftforavsnitt"/>
    <w:link w:val="Brdtekst"/>
    <w:rsid w:val="00342B1D"/>
    <w:rPr>
      <w:rFonts w:ascii="Times" w:hAnsi="Times" w:cs="Times"/>
    </w:rPr>
  </w:style>
  <w:style w:type="paragraph" w:styleId="Bobletekst">
    <w:name w:val="Balloon Text"/>
    <w:basedOn w:val="Normal"/>
    <w:link w:val="BobletekstTegn"/>
    <w:semiHidden/>
    <w:unhideWhenUsed/>
    <w:rsid w:val="008F76F6"/>
    <w:pPr>
      <w:spacing w:line="240" w:lineRule="auto"/>
    </w:pPr>
    <w:rPr>
      <w:rFonts w:ascii="Segoe UI" w:hAnsi="Segoe UI" w:cs="Segoe UI"/>
      <w:sz w:val="18"/>
      <w:szCs w:val="18"/>
    </w:rPr>
  </w:style>
  <w:style w:type="character" w:customStyle="1" w:styleId="BobletekstTegn">
    <w:name w:val="Bobletekst Tegn"/>
    <w:basedOn w:val="Standardskriftforavsnitt"/>
    <w:link w:val="Bobletekst"/>
    <w:semiHidden/>
    <w:rsid w:val="008F76F6"/>
    <w:rPr>
      <w:rFonts w:ascii="Segoe UI" w:hAnsi="Segoe UI" w:cs="Segoe UI"/>
      <w:sz w:val="18"/>
      <w:szCs w:val="18"/>
    </w:rPr>
  </w:style>
  <w:style w:type="table" w:customStyle="1" w:styleId="Tabellrutenett1">
    <w:name w:val="Tabellrutenett1"/>
    <w:basedOn w:val="Vanligtabell"/>
    <w:next w:val="Tabellrutenett"/>
    <w:rsid w:val="007372E3"/>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rsid w:val="007372E3"/>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Vanligtabell"/>
    <w:next w:val="Tabellrutenett"/>
    <w:rsid w:val="007372E3"/>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Vanligtabell"/>
    <w:next w:val="Tabellrutenett"/>
    <w:rsid w:val="00BD2F75"/>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3663C"/>
    <w:pPr>
      <w:ind w:left="720"/>
      <w:contextualSpacing/>
    </w:pPr>
  </w:style>
  <w:style w:type="table" w:customStyle="1" w:styleId="Tabellrutenett5">
    <w:name w:val="Tabellrutenett5"/>
    <w:basedOn w:val="Vanligtabell"/>
    <w:next w:val="Tabellrutenett"/>
    <w:rsid w:val="00EE3FA9"/>
    <w:pPr>
      <w:spacing w:line="280" w:lineRule="exac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6">
    <w:name w:val="Tabellrutenett6"/>
    <w:basedOn w:val="Vanligtabell"/>
    <w:next w:val="Tabellrutenett"/>
    <w:rsid w:val="009430BE"/>
    <w:pPr>
      <w:spacing w:line="280" w:lineRule="exac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7">
    <w:name w:val="Tabellrutenett7"/>
    <w:basedOn w:val="Vanligtabell"/>
    <w:next w:val="Tabellrutenett"/>
    <w:rsid w:val="00AD1924"/>
    <w:pPr>
      <w:spacing w:line="280" w:lineRule="exac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semiHidden/>
    <w:unhideWhenUsed/>
    <w:rsid w:val="00830DFB"/>
    <w:rPr>
      <w:sz w:val="16"/>
      <w:szCs w:val="16"/>
    </w:rPr>
  </w:style>
  <w:style w:type="paragraph" w:styleId="Merknadstekst">
    <w:name w:val="annotation text"/>
    <w:basedOn w:val="Normal"/>
    <w:link w:val="MerknadstekstTegn"/>
    <w:semiHidden/>
    <w:unhideWhenUsed/>
    <w:rsid w:val="00830DFB"/>
    <w:pPr>
      <w:spacing w:line="240" w:lineRule="auto"/>
    </w:pPr>
    <w:rPr>
      <w:sz w:val="20"/>
      <w:szCs w:val="20"/>
    </w:rPr>
  </w:style>
  <w:style w:type="character" w:customStyle="1" w:styleId="MerknadstekstTegn">
    <w:name w:val="Merknadstekst Tegn"/>
    <w:basedOn w:val="Standardskriftforavsnitt"/>
    <w:link w:val="Merknadstekst"/>
    <w:semiHidden/>
    <w:rsid w:val="00830DFB"/>
    <w:rPr>
      <w:rFonts w:ascii="Times" w:hAnsi="Times" w:cs="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405434">
      <w:bodyDiv w:val="1"/>
      <w:marLeft w:val="0"/>
      <w:marRight w:val="0"/>
      <w:marTop w:val="0"/>
      <w:marBottom w:val="0"/>
      <w:divBdr>
        <w:top w:val="none" w:sz="0" w:space="0" w:color="auto"/>
        <w:left w:val="none" w:sz="0" w:space="0" w:color="auto"/>
        <w:bottom w:val="none" w:sz="0" w:space="0" w:color="auto"/>
        <w:right w:val="none" w:sz="0" w:space="0" w:color="auto"/>
      </w:divBdr>
    </w:div>
    <w:div w:id="829373620">
      <w:bodyDiv w:val="1"/>
      <w:marLeft w:val="0"/>
      <w:marRight w:val="0"/>
      <w:marTop w:val="0"/>
      <w:marBottom w:val="0"/>
      <w:divBdr>
        <w:top w:val="none" w:sz="0" w:space="0" w:color="auto"/>
        <w:left w:val="none" w:sz="0" w:space="0" w:color="auto"/>
        <w:bottom w:val="none" w:sz="0" w:space="0" w:color="auto"/>
        <w:right w:val="none" w:sz="0" w:space="0" w:color="auto"/>
      </w:divBdr>
    </w:div>
    <w:div w:id="1043483899">
      <w:bodyDiv w:val="1"/>
      <w:marLeft w:val="0"/>
      <w:marRight w:val="0"/>
      <w:marTop w:val="0"/>
      <w:marBottom w:val="0"/>
      <w:divBdr>
        <w:top w:val="none" w:sz="0" w:space="0" w:color="auto"/>
        <w:left w:val="none" w:sz="0" w:space="0" w:color="auto"/>
        <w:bottom w:val="none" w:sz="0" w:space="0" w:color="auto"/>
        <w:right w:val="none" w:sz="0" w:space="0" w:color="auto"/>
      </w:divBdr>
    </w:div>
    <w:div w:id="105620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C30A90908020E47B788D7D8DC9ED6B7" ma:contentTypeVersion="4" ma:contentTypeDescription="Opprett et nytt dokument." ma:contentTypeScope="" ma:versionID="33e6ac75f025b9898321407780987c78">
  <xsd:schema xmlns:xsd="http://www.w3.org/2001/XMLSchema" xmlns:xs="http://www.w3.org/2001/XMLSchema" xmlns:p="http://schemas.microsoft.com/office/2006/metadata/properties" xmlns:ns2="fc46e5de-3c34-46b5-8889-f8355b0c592a" xmlns:ns3="686b5f4c-772e-4666-a6b7-165a57ec5a4e" targetNamespace="http://schemas.microsoft.com/office/2006/metadata/properties" ma:root="true" ma:fieldsID="f3328ff5f2bb2694fe66e68b2b544fbc" ns2:_="" ns3:_="">
    <xsd:import namespace="fc46e5de-3c34-46b5-8889-f8355b0c592a"/>
    <xsd:import namespace="686b5f4c-772e-4666-a6b7-165a57ec5a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6e5de-3c34-46b5-8889-f8355b0c5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b5f4c-772e-4666-a6b7-165a57ec5a4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E3D37-159B-4325-AF53-C8EA0C3C3A7B}">
  <ds:schemaRefs>
    <ds:schemaRef ds:uri="http://schemas.microsoft.com/office/2006/documentManagement/types"/>
    <ds:schemaRef ds:uri="http://purl.org/dc/elements/1.1/"/>
    <ds:schemaRef ds:uri="686b5f4c-772e-4666-a6b7-165a57ec5a4e"/>
    <ds:schemaRef ds:uri="http://purl.org/dc/dcmitype/"/>
    <ds:schemaRef ds:uri="http://schemas.microsoft.com/office/infopath/2007/PartnerControls"/>
    <ds:schemaRef ds:uri="http://purl.org/dc/terms/"/>
    <ds:schemaRef ds:uri="fc46e5de-3c34-46b5-8889-f8355b0c592a"/>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29365ED-9837-4DB3-93A6-410B98767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6e5de-3c34-46b5-8889-f8355b0c592a"/>
    <ds:schemaRef ds:uri="686b5f4c-772e-4666-a6b7-165a57ec5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9939FA-CC2B-4311-8671-238B4ADD18B8}">
  <ds:schemaRefs>
    <ds:schemaRef ds:uri="http://schemas.microsoft.com/sharepoint/v3/contenttype/forms"/>
  </ds:schemaRefs>
</ds:datastoreItem>
</file>

<file path=customXml/itemProps4.xml><?xml version="1.0" encoding="utf-8"?>
<ds:datastoreItem xmlns:ds="http://schemas.openxmlformats.org/officeDocument/2006/customXml" ds:itemID="{38E8B445-C45F-4FFB-9045-865B1027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2645</Words>
  <Characters>17731</Characters>
  <Application>Microsoft Office Word</Application>
  <DocSecurity>4</DocSecurity>
  <Lines>147</Lines>
  <Paragraphs>40</Paragraphs>
  <ScaleCrop>false</ScaleCrop>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Krogsrud Hans Petter</dc:creator>
  <cp:keywords/>
  <dc:description/>
  <cp:lastModifiedBy>Hanne Nordang Solum</cp:lastModifiedBy>
  <cp:revision>2</cp:revision>
  <cp:lastPrinted>2018-12-19T12:25:00Z</cp:lastPrinted>
  <dcterms:created xsi:type="dcterms:W3CDTF">2020-12-17T08:10:00Z</dcterms:created>
  <dcterms:modified xsi:type="dcterms:W3CDTF">2020-12-17T08:10:00Z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p360</vt:lpwstr>
  </property>
  <property fmtid="{D5CDD505-2E9C-101B-9397-08002B2CF9AE}" pid="4" name="Protocol">
    <vt:lpwstr>off</vt:lpwstr>
  </property>
  <property fmtid="{D5CDD505-2E9C-101B-9397-08002B2CF9AE}" pid="5" name="Site">
    <vt:lpwstr>/view.aspx</vt:lpwstr>
  </property>
  <property fmtid="{D5CDD505-2E9C-101B-9397-08002B2CF9AE}" pid="6" name="FileID">
    <vt:lpwstr>2011684</vt:lpwstr>
  </property>
  <property fmtid="{D5CDD505-2E9C-101B-9397-08002B2CF9AE}" pid="7" name="VerID">
    <vt:lpwstr>0</vt:lpwstr>
  </property>
  <property fmtid="{D5CDD505-2E9C-101B-9397-08002B2CF9AE}" pid="8" name="FilePath">
    <vt:lpwstr>\\san2\p360vol01\users\work\nve\jwt</vt:lpwstr>
  </property>
  <property fmtid="{D5CDD505-2E9C-101B-9397-08002B2CF9AE}" pid="9" name="FileName">
    <vt:lpwstr>SD16-03226 Handlingsplan for tilsyn 2017 2011684_1205786_0.DOCX</vt:lpwstr>
  </property>
  <property fmtid="{D5CDD505-2E9C-101B-9397-08002B2CF9AE}" pid="10" name="FullFileName">
    <vt:lpwstr>\\san2\p360vol01\users\work\nve\jwt\SD16-03226 Handlingsplan for tilsyn 2017 2011684_1205786_0.DOCX</vt:lpwstr>
  </property>
  <property fmtid="{D5CDD505-2E9C-101B-9397-08002B2CF9AE}" pid="11" name="sipTrackRevision">
    <vt:lpwstr>false</vt:lpwstr>
  </property>
  <property fmtid="{D5CDD505-2E9C-101B-9397-08002B2CF9AE}" pid="12" name="ContentTypeId">
    <vt:lpwstr>0x010100DC30A90908020E47B788D7D8DC9ED6B7</vt:lpwstr>
  </property>
</Properties>
</file>