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8F" w:rsidRPr="00D22FDF" w:rsidRDefault="00BD32B2" w:rsidP="0075082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FE00EC0BC84A48B6E24995BC30C832" style="width:451.5pt;height:435.75pt">
            <v:imagedata r:id="rId8" o:title=""/>
          </v:shape>
        </w:pict>
      </w:r>
    </w:p>
    <w:p w:rsidR="0003758F" w:rsidRPr="00D22FDF" w:rsidRDefault="0003758F" w:rsidP="0003758F">
      <w:pPr>
        <w:sectPr w:rsidR="0003758F" w:rsidRPr="00D22FDF" w:rsidSect="0024149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03758F" w:rsidRPr="00D22FDF" w:rsidRDefault="0003758F" w:rsidP="00A75600">
      <w:pPr>
        <w:pStyle w:val="Exposdesmotifstitre"/>
      </w:pPr>
      <w:r w:rsidRPr="00D22FDF">
        <w:lastRenderedPageBreak/>
        <w:t>EXPLANATORY MEMORANDUM</w:t>
      </w:r>
    </w:p>
    <w:p w:rsidR="0003758F" w:rsidRPr="00D22FDF" w:rsidRDefault="0003758F" w:rsidP="00FB18DC">
      <w:pPr>
        <w:pStyle w:val="ManualHeading1"/>
      </w:pPr>
      <w:r w:rsidRPr="00D22FDF">
        <w:t>1.</w:t>
      </w:r>
      <w:r w:rsidRPr="00D22FDF">
        <w:tab/>
        <w:t>CONTEXT OF THE DELEGATED ACT</w:t>
      </w:r>
    </w:p>
    <w:p w:rsidR="00396EA7" w:rsidRPr="00D22FDF" w:rsidRDefault="00396EA7" w:rsidP="00396EA7">
      <w:pPr>
        <w:spacing w:after="0"/>
        <w:rPr>
          <w:b/>
        </w:rPr>
      </w:pPr>
      <w:r w:rsidRPr="00D22FDF">
        <w:rPr>
          <w:b/>
        </w:rPr>
        <w:t>Background</w:t>
      </w:r>
    </w:p>
    <w:p w:rsidR="00396EA7" w:rsidRPr="00D22FDF" w:rsidRDefault="00396EA7" w:rsidP="00396EA7">
      <w:pPr>
        <w:spacing w:after="0"/>
      </w:pPr>
      <w:r w:rsidRPr="00D22FDF">
        <w:t>EU</w:t>
      </w:r>
      <w:r w:rsidR="001A627C">
        <w:t xml:space="preserve"> </w:t>
      </w:r>
      <w:r w:rsidR="00F002BA">
        <w:t xml:space="preserve">legislation </w:t>
      </w:r>
      <w:r w:rsidR="001A627C">
        <w:t>on</w:t>
      </w:r>
      <w:r w:rsidRPr="00D22FDF">
        <w:t xml:space="preserve"> the energy efficiency of products provides for the </w:t>
      </w:r>
      <w:r w:rsidR="00F807D6">
        <w:t xml:space="preserve">following energy </w:t>
      </w:r>
      <w:r w:rsidR="003E2F26">
        <w:t xml:space="preserve">efficiency </w:t>
      </w:r>
      <w:r w:rsidR="00F807D6">
        <w:t>requirements to be set</w:t>
      </w:r>
      <w:r w:rsidR="001033D0">
        <w:t>:</w:t>
      </w:r>
      <w:r w:rsidRPr="00D22FDF">
        <w:t xml:space="preserve"> </w:t>
      </w:r>
      <w:r w:rsidR="001033D0">
        <w:t xml:space="preserve">1. </w:t>
      </w:r>
      <w:r w:rsidRPr="00D22FDF">
        <w:t>minimum energy efficiency requirements for placing products on the market under the Ecodesign Directive (</w:t>
      </w:r>
      <w:r w:rsidR="001033D0">
        <w:t xml:space="preserve">Directive </w:t>
      </w:r>
      <w:r w:rsidRPr="00D22FDF">
        <w:t>2009/125/EC</w:t>
      </w:r>
      <w:r w:rsidR="001033D0">
        <w:t xml:space="preserve"> of the European Parliament and of the Council</w:t>
      </w:r>
      <w:r w:rsidRPr="00D22FDF">
        <w:t>)</w:t>
      </w:r>
      <w:r w:rsidR="001033D0">
        <w:t>;</w:t>
      </w:r>
      <w:r w:rsidRPr="00D22FDF">
        <w:t xml:space="preserve"> and </w:t>
      </w:r>
      <w:r w:rsidR="001033D0">
        <w:t>2. defined performance</w:t>
      </w:r>
      <w:r w:rsidR="001033D0" w:rsidRPr="00D22FDF">
        <w:t xml:space="preserve"> </w:t>
      </w:r>
      <w:r w:rsidRPr="00D22FDF">
        <w:t xml:space="preserve">levels </w:t>
      </w:r>
      <w:r w:rsidR="001033D0">
        <w:t xml:space="preserve">that have </w:t>
      </w:r>
      <w:r w:rsidRPr="00D22FDF">
        <w:t>to be achieved for products to be classified in a particular energy class on an A to G (or A+++ to D) scale under the Energy Labelling Directive (</w:t>
      </w:r>
      <w:r w:rsidR="001033D0">
        <w:t xml:space="preserve">Directive </w:t>
      </w:r>
      <w:r w:rsidRPr="00D22FDF">
        <w:t>2010/30/EU</w:t>
      </w:r>
      <w:r w:rsidR="001033D0">
        <w:t xml:space="preserve"> of the European Parliament and of the Council</w:t>
      </w:r>
      <w:r w:rsidRPr="00D22FDF">
        <w:t xml:space="preserve">). The two </w:t>
      </w:r>
      <w:r w:rsidR="00D22FDF">
        <w:t>D</w:t>
      </w:r>
      <w:r w:rsidRPr="00D22FDF">
        <w:t xml:space="preserve">irectives </w:t>
      </w:r>
      <w:r w:rsidR="00D22FDF">
        <w:t>are implemented</w:t>
      </w:r>
      <w:r w:rsidRPr="00D22FDF">
        <w:t xml:space="preserve"> based on the </w:t>
      </w:r>
      <w:r w:rsidR="00D22FDF">
        <w:t>‘</w:t>
      </w:r>
      <w:r w:rsidR="005F2033">
        <w:t>n</w:t>
      </w:r>
      <w:r w:rsidRPr="00D22FDF">
        <w:t xml:space="preserve">ew </w:t>
      </w:r>
      <w:r w:rsidR="005F2033">
        <w:t>a</w:t>
      </w:r>
      <w:r w:rsidRPr="00D22FDF">
        <w:t>pproach</w:t>
      </w:r>
      <w:r w:rsidR="00D22FDF">
        <w:t>’</w:t>
      </w:r>
      <w:r w:rsidRPr="00D22FDF">
        <w:t xml:space="preserve"> principle, meaning that suppliers (manufacturers and importers) have to test their </w:t>
      </w:r>
      <w:r w:rsidR="006E0761">
        <w:t xml:space="preserve">own </w:t>
      </w:r>
      <w:r w:rsidRPr="00D22FDF">
        <w:t xml:space="preserve">products to make sure they comply with the requirements </w:t>
      </w:r>
      <w:r w:rsidR="007D4FAD">
        <w:t xml:space="preserve">set out </w:t>
      </w:r>
      <w:r w:rsidRPr="00D22FDF">
        <w:t>in implementing measures (</w:t>
      </w:r>
      <w:r w:rsidR="007D4FAD">
        <w:t xml:space="preserve">in the case of </w:t>
      </w:r>
      <w:r w:rsidRPr="00D22FDF">
        <w:t xml:space="preserve">ecodesign) or </w:t>
      </w:r>
      <w:r w:rsidR="007D4FAD">
        <w:t xml:space="preserve">in </w:t>
      </w:r>
      <w:r w:rsidRPr="00D22FDF">
        <w:t>delegated acts (</w:t>
      </w:r>
      <w:r w:rsidR="007D4FAD">
        <w:t xml:space="preserve">in the case of </w:t>
      </w:r>
      <w:r w:rsidRPr="00D22FDF">
        <w:t xml:space="preserve">energy labelling). Suppliers include these test results in a </w:t>
      </w:r>
      <w:r w:rsidR="00D22FDF">
        <w:t>‘</w:t>
      </w:r>
      <w:r w:rsidRPr="00D22FDF">
        <w:t>self-declaration</w:t>
      </w:r>
      <w:r w:rsidR="00D22FDF">
        <w:t>’</w:t>
      </w:r>
      <w:r w:rsidRPr="00D22FDF">
        <w:t xml:space="preserve"> of compliance, which is </w:t>
      </w:r>
      <w:r w:rsidR="00F002BA">
        <w:t xml:space="preserve">a requisite </w:t>
      </w:r>
      <w:r w:rsidR="00821088">
        <w:t xml:space="preserve">to be allowed </w:t>
      </w:r>
      <w:r w:rsidR="006E0761">
        <w:t>to</w:t>
      </w:r>
      <w:r w:rsidRPr="00D22FDF">
        <w:t xml:space="preserve"> display the CE marking</w:t>
      </w:r>
      <w:r w:rsidR="007D4FAD">
        <w:t xml:space="preserve"> (indicating conformity)</w:t>
      </w:r>
      <w:r w:rsidRPr="00D22FDF">
        <w:t xml:space="preserve">. As a rule, they do not need to have their products tested by third parties before placing </w:t>
      </w:r>
      <w:r w:rsidR="00D22FDF">
        <w:t xml:space="preserve">them </w:t>
      </w:r>
      <w:r w:rsidRPr="00D22FDF">
        <w:t xml:space="preserve">on the market, but they </w:t>
      </w:r>
      <w:r w:rsidR="006E0761">
        <w:t>must</w:t>
      </w:r>
      <w:r w:rsidR="007D4FAD">
        <w:t>, on request,</w:t>
      </w:r>
      <w:r w:rsidRPr="00D22FDF">
        <w:t xml:space="preserve"> provide the technical documentation </w:t>
      </w:r>
      <w:r w:rsidR="00D22FDF">
        <w:t>for</w:t>
      </w:r>
      <w:r w:rsidRPr="00D22FDF">
        <w:t xml:space="preserve"> </w:t>
      </w:r>
      <w:r w:rsidR="00F002BA">
        <w:t xml:space="preserve">those </w:t>
      </w:r>
      <w:r w:rsidRPr="00D22FDF">
        <w:t>products.</w:t>
      </w:r>
    </w:p>
    <w:p w:rsidR="00396EA7" w:rsidRPr="00D22FDF" w:rsidRDefault="00396EA7" w:rsidP="00396EA7">
      <w:pPr>
        <w:spacing w:after="0"/>
      </w:pPr>
      <w:r w:rsidRPr="00D22FDF">
        <w:t>It is the Member States</w:t>
      </w:r>
      <w:r w:rsidR="00D22FDF">
        <w:t>’</w:t>
      </w:r>
      <w:r w:rsidRPr="00D22FDF">
        <w:t xml:space="preserve"> duty to check whether suppliers comply with the requirements </w:t>
      </w:r>
      <w:r w:rsidR="007D4FAD">
        <w:t xml:space="preserve">set out </w:t>
      </w:r>
      <w:r w:rsidRPr="00D22FDF">
        <w:t xml:space="preserve">in the </w:t>
      </w:r>
      <w:r w:rsidR="003E2F26">
        <w:t xml:space="preserve">Energy Labelling and Ecodesign </w:t>
      </w:r>
      <w:r w:rsidRPr="00D22FDF">
        <w:t xml:space="preserve">regulations. Member States </w:t>
      </w:r>
      <w:r w:rsidR="007D4FAD">
        <w:t xml:space="preserve">therefore </w:t>
      </w:r>
      <w:r w:rsidRPr="00D22FDF">
        <w:t xml:space="preserve">carry out market surveillance in the form of spot-checks on the products placed on the market, </w:t>
      </w:r>
      <w:r w:rsidR="005F2033">
        <w:t>and</w:t>
      </w:r>
      <w:r w:rsidRPr="00D22FDF">
        <w:t xml:space="preserve"> test </w:t>
      </w:r>
      <w:r w:rsidR="00D22FDF">
        <w:t>products’</w:t>
      </w:r>
      <w:r w:rsidRPr="00D22FDF">
        <w:t xml:space="preserve"> performance against the values declared by suppliers. </w:t>
      </w:r>
      <w:r w:rsidR="007D4FAD">
        <w:t>T</w:t>
      </w:r>
      <w:r w:rsidRPr="00D22FDF">
        <w:t>here are</w:t>
      </w:r>
      <w:r w:rsidR="007D4FAD">
        <w:t>, however,</w:t>
      </w:r>
      <w:r w:rsidRPr="00D22FDF">
        <w:t xml:space="preserve"> inevitable differences in the measurement equipment used by suppliers and by surveillance authorities across the EU. </w:t>
      </w:r>
      <w:r w:rsidR="00706691" w:rsidRPr="00A82431">
        <w:t xml:space="preserve">A good measurement is meaningless without knowing the quantification of the doubt about the measurement result (uncertainty). Tolerance is the acceptable uncertainty. </w:t>
      </w:r>
      <w:r w:rsidR="007D4FAD">
        <w:t>A</w:t>
      </w:r>
      <w:r w:rsidRPr="00D22FDF">
        <w:t xml:space="preserve"> certain </w:t>
      </w:r>
      <w:r w:rsidR="007D4FAD">
        <w:t xml:space="preserve">degree of </w:t>
      </w:r>
      <w:r w:rsidRPr="00D22FDF">
        <w:t xml:space="preserve">variation in the measured values </w:t>
      </w:r>
      <w:r w:rsidR="007D4FAD">
        <w:t xml:space="preserve">therefore </w:t>
      </w:r>
      <w:r w:rsidRPr="00D22FDF">
        <w:t>has to be tolerated</w:t>
      </w:r>
      <w:r w:rsidR="007D4FAD">
        <w:t>, in order</w:t>
      </w:r>
      <w:r w:rsidRPr="00D22FDF">
        <w:t xml:space="preserve"> to account for the differences in measurement equipment. The </w:t>
      </w:r>
      <w:r w:rsidR="00F807D6">
        <w:t xml:space="preserve">level of </w:t>
      </w:r>
      <w:r w:rsidRPr="00D22FDF">
        <w:t xml:space="preserve">variation </w:t>
      </w:r>
      <w:r w:rsidR="00F807D6">
        <w:t xml:space="preserve">allowed </w:t>
      </w:r>
      <w:r w:rsidR="00F002BA">
        <w:t xml:space="preserve">(i.e. the tolerance) </w:t>
      </w:r>
      <w:r w:rsidRPr="00D22FDF">
        <w:t xml:space="preserve">differs according to the product and parameter </w:t>
      </w:r>
      <w:r w:rsidR="00F807D6">
        <w:t xml:space="preserve">being </w:t>
      </w:r>
      <w:r w:rsidRPr="00D22FDF">
        <w:t xml:space="preserve">measured, and is </w:t>
      </w:r>
      <w:r w:rsidR="00E0704D">
        <w:t>set on the basis of</w:t>
      </w:r>
      <w:r w:rsidRPr="00D22FDF">
        <w:t xml:space="preserve"> careful consideration by technical experts. </w:t>
      </w:r>
      <w:r w:rsidR="007D4FAD">
        <w:t>In view of this</w:t>
      </w:r>
      <w:r w:rsidRPr="00D22FDF">
        <w:t xml:space="preserve">, the product-specific Ecodesign and Energy Labelling regulations always contain an annex </w:t>
      </w:r>
      <w:r w:rsidR="00F002BA">
        <w:t xml:space="preserve">indicating </w:t>
      </w:r>
      <w:r w:rsidRPr="00D22FDF">
        <w:t xml:space="preserve">the tolerated </w:t>
      </w:r>
      <w:r w:rsidR="007D4FAD">
        <w:t xml:space="preserve">level of </w:t>
      </w:r>
      <w:r w:rsidRPr="00D22FDF">
        <w:t xml:space="preserve">variation for each measured parameter, </w:t>
      </w:r>
      <w:r w:rsidR="006819FB">
        <w:t>and</w:t>
      </w:r>
      <w:r w:rsidRPr="00D22FDF">
        <w:t xml:space="preserve"> the procedure that </w:t>
      </w:r>
      <w:r w:rsidR="007D4FAD">
        <w:t>Member State</w:t>
      </w:r>
      <w:r w:rsidR="006819FB">
        <w:t xml:space="preserve"> </w:t>
      </w:r>
      <w:r w:rsidRPr="00D22FDF">
        <w:t xml:space="preserve">market surveillance authorities </w:t>
      </w:r>
      <w:r w:rsidR="005F2033">
        <w:t>must</w:t>
      </w:r>
      <w:r w:rsidRPr="00D22FDF">
        <w:t xml:space="preserve"> follow to decide whether </w:t>
      </w:r>
      <w:r w:rsidR="006819FB">
        <w:t xml:space="preserve">or not </w:t>
      </w:r>
      <w:r w:rsidRPr="00D22FDF">
        <w:t xml:space="preserve">a product </w:t>
      </w:r>
      <w:r w:rsidR="006819FB">
        <w:t>complies</w:t>
      </w:r>
      <w:r w:rsidRPr="00D22FDF">
        <w:t xml:space="preserve"> with the implementing or delegated act.</w:t>
      </w:r>
    </w:p>
    <w:p w:rsidR="00396EA7" w:rsidRPr="00D22FDF" w:rsidRDefault="00066443" w:rsidP="00396EA7">
      <w:r>
        <w:t>T</w:t>
      </w:r>
      <w:r w:rsidR="00396EA7" w:rsidRPr="00D22FDF">
        <w:t xml:space="preserve">he measured value </w:t>
      </w:r>
      <w:r>
        <w:t xml:space="preserve">recorded </w:t>
      </w:r>
      <w:r w:rsidR="006E617A">
        <w:t>is</w:t>
      </w:r>
      <w:r w:rsidR="00396EA7" w:rsidRPr="00D22FDF">
        <w:t xml:space="preserve"> </w:t>
      </w:r>
      <w:r>
        <w:t xml:space="preserve">sometimes </w:t>
      </w:r>
      <w:r w:rsidR="00396EA7" w:rsidRPr="00D22FDF">
        <w:t xml:space="preserve">the average of several measured results, or is calculated </w:t>
      </w:r>
      <w:r w:rsidR="006E617A" w:rsidRPr="00D22FDF">
        <w:t xml:space="preserve">from measurement results </w:t>
      </w:r>
      <w:r w:rsidR="00396EA7" w:rsidRPr="00D22FDF">
        <w:t>in another way.</w:t>
      </w:r>
    </w:p>
    <w:p w:rsidR="00396EA7" w:rsidRPr="00D22FDF" w:rsidRDefault="00A71C6B" w:rsidP="00396EA7">
      <w:pPr>
        <w:rPr>
          <w:b/>
          <w:lang w:eastAsia="en-GB"/>
        </w:rPr>
      </w:pPr>
      <w:r>
        <w:rPr>
          <w:b/>
          <w:lang w:eastAsia="en-GB"/>
        </w:rPr>
        <w:t>C</w:t>
      </w:r>
      <w:r w:rsidR="00396EA7" w:rsidRPr="00D22FDF">
        <w:rPr>
          <w:b/>
          <w:lang w:eastAsia="en-GB"/>
        </w:rPr>
        <w:t>los</w:t>
      </w:r>
      <w:r>
        <w:rPr>
          <w:b/>
          <w:lang w:eastAsia="en-GB"/>
        </w:rPr>
        <w:t>ing</w:t>
      </w:r>
      <w:r w:rsidR="00396EA7" w:rsidRPr="00D22FDF">
        <w:rPr>
          <w:b/>
          <w:lang w:eastAsia="en-GB"/>
        </w:rPr>
        <w:t xml:space="preserve"> an unintended loophole</w:t>
      </w:r>
    </w:p>
    <w:p w:rsidR="00396EA7" w:rsidRPr="00D22FDF" w:rsidRDefault="00396EA7" w:rsidP="00396EA7">
      <w:r w:rsidRPr="00D22FDF">
        <w:t>Member State authorities have identified cases where manufacturers have systematically used the tolerances</w:t>
      </w:r>
      <w:r w:rsidR="00066443">
        <w:t xml:space="preserve"> </w:t>
      </w:r>
      <w:r w:rsidR="00F002BA">
        <w:t xml:space="preserve">– </w:t>
      </w:r>
      <w:r w:rsidR="00066443">
        <w:t xml:space="preserve">intended to apply </w:t>
      </w:r>
      <w:r w:rsidR="00F002BA">
        <w:t xml:space="preserve">only </w:t>
      </w:r>
      <w:r w:rsidR="00066443">
        <w:t>to the</w:t>
      </w:r>
      <w:r w:rsidRPr="00D22FDF">
        <w:t xml:space="preserve"> verification </w:t>
      </w:r>
      <w:r w:rsidR="00066443">
        <w:t xml:space="preserve">procedure </w:t>
      </w:r>
      <w:r w:rsidR="00F002BA">
        <w:t xml:space="preserve">– </w:t>
      </w:r>
      <w:r w:rsidRPr="00D22FDF">
        <w:t>to</w:t>
      </w:r>
      <w:r w:rsidR="006E617A">
        <w:t xml:space="preserve"> make </w:t>
      </w:r>
      <w:r w:rsidR="00C72352">
        <w:t xml:space="preserve">it appear that </w:t>
      </w:r>
      <w:r w:rsidR="006E617A">
        <w:t xml:space="preserve">their products </w:t>
      </w:r>
      <w:r w:rsidR="00C72352">
        <w:t>perform</w:t>
      </w:r>
      <w:r w:rsidR="006E617A">
        <w:t xml:space="preserve"> better</w:t>
      </w:r>
      <w:r w:rsidRPr="00D22FDF">
        <w:t xml:space="preserve"> than </w:t>
      </w:r>
      <w:r w:rsidR="00066443">
        <w:t xml:space="preserve">is actually </w:t>
      </w:r>
      <w:r w:rsidR="00E0704D">
        <w:t>indicated</w:t>
      </w:r>
      <w:r w:rsidR="00066443">
        <w:t xml:space="preserve"> by </w:t>
      </w:r>
      <w:r w:rsidRPr="00D22FDF">
        <w:t>their measured performance.</w:t>
      </w:r>
    </w:p>
    <w:p w:rsidR="00396EA7" w:rsidRPr="00D22FDF" w:rsidRDefault="00396EA7" w:rsidP="00396EA7">
      <w:r w:rsidRPr="00D22FDF">
        <w:t xml:space="preserve">The following forms of misuse have been observed in the application of both </w:t>
      </w:r>
      <w:r w:rsidR="00F002BA">
        <w:t>E</w:t>
      </w:r>
      <w:r w:rsidRPr="00A71C6B">
        <w:t xml:space="preserve">codesign and </w:t>
      </w:r>
      <w:r w:rsidR="00A71C6B" w:rsidRPr="00A71C6B">
        <w:t xml:space="preserve">on </w:t>
      </w:r>
      <w:r w:rsidR="00F002BA">
        <w:t>E</w:t>
      </w:r>
      <w:r w:rsidRPr="00A71C6B">
        <w:t xml:space="preserve">nergy </w:t>
      </w:r>
      <w:r w:rsidR="00F002BA">
        <w:t>L</w:t>
      </w:r>
      <w:r w:rsidRPr="00A71C6B">
        <w:t>abelling</w:t>
      </w:r>
      <w:r w:rsidR="00F002BA">
        <w:t xml:space="preserve"> regulations</w:t>
      </w:r>
      <w:r w:rsidRPr="00D22FDF">
        <w:t>:</w:t>
      </w:r>
    </w:p>
    <w:p w:rsidR="00396EA7" w:rsidRPr="00D22FDF" w:rsidRDefault="00396EA7" w:rsidP="00E8274E">
      <w:pPr>
        <w:pStyle w:val="NumPar1"/>
        <w:numPr>
          <w:ilvl w:val="0"/>
          <w:numId w:val="17"/>
        </w:numPr>
      </w:pPr>
      <w:r w:rsidRPr="00D22FDF">
        <w:t xml:space="preserve">The manufacturer </w:t>
      </w:r>
      <w:r w:rsidR="00C72352">
        <w:t>declares</w:t>
      </w:r>
      <w:r w:rsidRPr="00D22FDF">
        <w:t xml:space="preserve"> more favourable </w:t>
      </w:r>
      <w:r w:rsidR="00C72352">
        <w:t xml:space="preserve">values </w:t>
      </w:r>
      <w:r w:rsidR="00C72352" w:rsidRPr="00D22FDF">
        <w:t xml:space="preserve">in the technical documentation file </w:t>
      </w:r>
      <w:r w:rsidRPr="00D22FDF">
        <w:t xml:space="preserve">than </w:t>
      </w:r>
      <w:r w:rsidR="003B59E4">
        <w:t xml:space="preserve">were </w:t>
      </w:r>
      <w:r w:rsidR="00C72352">
        <w:t xml:space="preserve">actually </w:t>
      </w:r>
      <w:r w:rsidRPr="00D22FDF">
        <w:t>measured to compl</w:t>
      </w:r>
      <w:r w:rsidR="00C72352">
        <w:t>y</w:t>
      </w:r>
      <w:r w:rsidRPr="00D22FDF">
        <w:t xml:space="preserve"> with ecodesign requirements, reach a higher </w:t>
      </w:r>
      <w:r w:rsidR="00F002BA">
        <w:t xml:space="preserve">energy </w:t>
      </w:r>
      <w:r w:rsidR="00450CA1">
        <w:rPr>
          <w:szCs w:val="24"/>
        </w:rPr>
        <w:t>energy efficiency class</w:t>
      </w:r>
      <w:r w:rsidRPr="00D22FDF">
        <w:t xml:space="preserve">, or </w:t>
      </w:r>
      <w:r w:rsidR="003B59E4">
        <w:t>suggest</w:t>
      </w:r>
      <w:r w:rsidR="003B59E4" w:rsidRPr="00D22FDF">
        <w:t xml:space="preserve"> </w:t>
      </w:r>
      <w:r w:rsidRPr="00D22FDF">
        <w:t>better performance.</w:t>
      </w:r>
    </w:p>
    <w:p w:rsidR="00396EA7" w:rsidRPr="00D22FDF" w:rsidRDefault="00396EA7" w:rsidP="00396EA7">
      <w:pPr>
        <w:ind w:left="1920" w:hanging="1200"/>
      </w:pPr>
      <w:r w:rsidRPr="00D22FDF">
        <w:rPr>
          <w:i/>
        </w:rPr>
        <w:t>Example</w:t>
      </w:r>
      <w:r w:rsidRPr="00D22FDF">
        <w:rPr>
          <w:i/>
        </w:rPr>
        <w:tab/>
      </w:r>
      <w:r w:rsidRPr="00D22FDF">
        <w:t>If measuring the product</w:t>
      </w:r>
      <w:r w:rsidR="001162A7">
        <w:t>'</w:t>
      </w:r>
      <w:r w:rsidR="00E0704D">
        <w:t>s</w:t>
      </w:r>
      <w:r w:rsidRPr="00D22FDF">
        <w:t xml:space="preserve"> </w:t>
      </w:r>
      <w:r w:rsidR="00D96D4F">
        <w:t>performance</w:t>
      </w:r>
      <w:r w:rsidR="00D96D4F" w:rsidRPr="00D22FDF">
        <w:t xml:space="preserve"> </w:t>
      </w:r>
      <w:r w:rsidR="008E1DF2">
        <w:t>as being</w:t>
      </w:r>
      <w:r w:rsidR="008E1DF2" w:rsidRPr="00D22FDF">
        <w:t xml:space="preserve"> </w:t>
      </w:r>
      <w:r w:rsidRPr="00D22FDF">
        <w:t>value X</w:t>
      </w:r>
      <w:r w:rsidR="008E1DF2">
        <w:t xml:space="preserve"> would</w:t>
      </w:r>
      <w:r w:rsidRPr="00D22FDF">
        <w:t xml:space="preserve"> lead </w:t>
      </w:r>
      <w:r w:rsidR="008E1DF2">
        <w:t>to the product being classified in</w:t>
      </w:r>
      <w:r w:rsidRPr="00D22FDF">
        <w:t xml:space="preserve"> class B, but </w:t>
      </w:r>
      <w:r w:rsidR="00D96D4F">
        <w:t xml:space="preserve">a </w:t>
      </w:r>
      <w:r w:rsidRPr="00D22FDF">
        <w:t xml:space="preserve">value </w:t>
      </w:r>
      <w:r w:rsidR="00D96D4F">
        <w:t xml:space="preserve">of </w:t>
      </w:r>
      <w:r w:rsidRPr="00D22FDF">
        <w:t>X-7</w:t>
      </w:r>
      <w:r w:rsidR="00D22FDF">
        <w:t> </w:t>
      </w:r>
      <w:r w:rsidRPr="00D22FDF">
        <w:t xml:space="preserve">% would lead to </w:t>
      </w:r>
      <w:r w:rsidR="00CF6920">
        <w:lastRenderedPageBreak/>
        <w:t xml:space="preserve">a classification </w:t>
      </w:r>
      <w:r w:rsidR="00F002BA">
        <w:t xml:space="preserve">in </w:t>
      </w:r>
      <w:r w:rsidRPr="00D22FDF">
        <w:t>class A, the manufacturer declares the value X-7</w:t>
      </w:r>
      <w:r w:rsidR="00D22FDF">
        <w:t> </w:t>
      </w:r>
      <w:r w:rsidRPr="00D22FDF">
        <w:t xml:space="preserve">% </w:t>
      </w:r>
      <w:r w:rsidR="00C72352" w:rsidRPr="00D22FDF">
        <w:t xml:space="preserve">in the technical documentation file </w:t>
      </w:r>
      <w:r w:rsidRPr="00D22FDF">
        <w:t xml:space="preserve">and the product is labelled </w:t>
      </w:r>
      <w:r w:rsidR="00D96D4F">
        <w:t xml:space="preserve">as being </w:t>
      </w:r>
      <w:r w:rsidRPr="00D22FDF">
        <w:t>class A. If the verification tolerance is 15</w:t>
      </w:r>
      <w:r w:rsidR="00D22FDF">
        <w:t> </w:t>
      </w:r>
      <w:r w:rsidRPr="00D22FDF">
        <w:t>%, the</w:t>
      </w:r>
      <w:r w:rsidR="00C72352">
        <w:t>re is little</w:t>
      </w:r>
      <w:r w:rsidRPr="00D22FDF">
        <w:t xml:space="preserve"> chance of market surveillance finding this product non-compliant in a single surveillance action (although repeated surveillance actions </w:t>
      </w:r>
      <w:r w:rsidR="00C72352">
        <w:t>may eventually</w:t>
      </w:r>
      <w:r w:rsidRPr="00D22FDF">
        <w:t xml:space="preserve"> uncover </w:t>
      </w:r>
      <w:r w:rsidR="00C72352">
        <w:t>a deliberate</w:t>
      </w:r>
      <w:r w:rsidRPr="00D22FDF">
        <w:t xml:space="preserve"> understatement).</w:t>
      </w:r>
    </w:p>
    <w:p w:rsidR="00396EA7" w:rsidRPr="00D22FDF" w:rsidRDefault="00396EA7" w:rsidP="00554594">
      <w:pPr>
        <w:pStyle w:val="NumPar1"/>
      </w:pPr>
      <w:r w:rsidRPr="00D22FDF">
        <w:t xml:space="preserve">The values declared by the manufacturer in the technical documentation file should have led to non-compliance or </w:t>
      </w:r>
      <w:r w:rsidR="00CF6920">
        <w:t xml:space="preserve">to </w:t>
      </w:r>
      <w:r w:rsidRPr="00D22FDF">
        <w:t>a lower</w:t>
      </w:r>
      <w:r w:rsidR="00450CA1" w:rsidRPr="00450CA1">
        <w:rPr>
          <w:szCs w:val="24"/>
        </w:rPr>
        <w:t xml:space="preserve"> </w:t>
      </w:r>
      <w:r w:rsidR="00450CA1">
        <w:rPr>
          <w:szCs w:val="24"/>
        </w:rPr>
        <w:t>energy efficiency class</w:t>
      </w:r>
      <w:r w:rsidRPr="00D22FDF">
        <w:t xml:space="preserve">. Nevertheless, the manufacturer placed the product on the market with a declaration of conformity or with </w:t>
      </w:r>
      <w:r w:rsidR="00CF6920">
        <w:t xml:space="preserve">a </w:t>
      </w:r>
      <w:r w:rsidRPr="00D22FDF">
        <w:t>higher</w:t>
      </w:r>
      <w:r w:rsidR="00450CA1" w:rsidRPr="00450CA1">
        <w:rPr>
          <w:szCs w:val="24"/>
        </w:rPr>
        <w:t xml:space="preserve"> </w:t>
      </w:r>
      <w:r w:rsidR="00450CA1">
        <w:rPr>
          <w:szCs w:val="24"/>
        </w:rPr>
        <w:t>energy efficiency class</w:t>
      </w:r>
      <w:r w:rsidRPr="00D22FDF">
        <w:t>, as the declared values were within the verification tolerance from the limit</w:t>
      </w:r>
      <w:r w:rsidR="00E0704D">
        <w:t xml:space="preserve"> value</w:t>
      </w:r>
      <w:r w:rsidRPr="00D22FDF">
        <w:t>.</w:t>
      </w:r>
    </w:p>
    <w:p w:rsidR="00396EA7" w:rsidRPr="00D22FDF" w:rsidRDefault="00396EA7" w:rsidP="00396EA7">
      <w:pPr>
        <w:ind w:left="1920" w:hanging="1200"/>
      </w:pPr>
      <w:r w:rsidRPr="00D22FDF">
        <w:rPr>
          <w:i/>
        </w:rPr>
        <w:t>Example</w:t>
      </w:r>
      <w:r w:rsidRPr="00D22FDF">
        <w:rPr>
          <w:i/>
        </w:rPr>
        <w:tab/>
      </w:r>
      <w:r w:rsidRPr="00D22FDF">
        <w:t>The limit imposed by an ecodesign requirement is X. The corresponding value declared by the manufacturer in the technical documentation file is X-7</w:t>
      </w:r>
      <w:r w:rsidR="00D22FDF">
        <w:t> </w:t>
      </w:r>
      <w:r w:rsidRPr="00D22FDF">
        <w:t>%, meaning the product is non-compliant. The product is still placed on the market with a CE marking, as the manufacturer believes this is authorised</w:t>
      </w:r>
      <w:r w:rsidR="002D287C">
        <w:t xml:space="preserve"> since </w:t>
      </w:r>
      <w:r w:rsidR="002D287C" w:rsidRPr="00C4374D">
        <w:t>X-7</w:t>
      </w:r>
      <w:r w:rsidR="002D287C">
        <w:t> </w:t>
      </w:r>
      <w:r w:rsidR="002D287C" w:rsidRPr="00C4374D">
        <w:t>%</w:t>
      </w:r>
      <w:r w:rsidR="002D287C">
        <w:t xml:space="preserve"> is still</w:t>
      </w:r>
      <w:r w:rsidRPr="00D22FDF">
        <w:t xml:space="preserve"> within the tolerance </w:t>
      </w:r>
      <w:r w:rsidR="00CF6920">
        <w:t>allowed</w:t>
      </w:r>
      <w:r w:rsidR="00CF6920" w:rsidRPr="00D22FDF">
        <w:t xml:space="preserve"> </w:t>
      </w:r>
      <w:r w:rsidRPr="00D22FDF">
        <w:t>for verification (X-15</w:t>
      </w:r>
      <w:r w:rsidR="00D22FDF">
        <w:t> </w:t>
      </w:r>
      <w:r w:rsidRPr="00D22FDF">
        <w:t>%).</w:t>
      </w:r>
    </w:p>
    <w:p w:rsidR="00396EA7" w:rsidRPr="00D22FDF" w:rsidRDefault="00396EA7" w:rsidP="00554594">
      <w:pPr>
        <w:pStyle w:val="NumPar1"/>
      </w:pPr>
      <w:r w:rsidRPr="00D22FDF">
        <w:t>In the label</w:t>
      </w:r>
      <w:r w:rsidR="003E2F26">
        <w:t xml:space="preserve"> and</w:t>
      </w:r>
      <w:r w:rsidRPr="00D22FDF">
        <w:t xml:space="preserve"> product fiche </w:t>
      </w:r>
      <w:r w:rsidR="003E2F26">
        <w:t xml:space="preserve">as required by </w:t>
      </w:r>
      <w:r w:rsidR="00F002BA">
        <w:t xml:space="preserve">an </w:t>
      </w:r>
      <w:r w:rsidR="003E2F26">
        <w:t xml:space="preserve">Energy Labelling regulation, </w:t>
      </w:r>
      <w:r w:rsidRPr="00D22FDF">
        <w:t xml:space="preserve">or </w:t>
      </w:r>
      <w:r w:rsidR="003E2F26">
        <w:t xml:space="preserve">in </w:t>
      </w:r>
      <w:r w:rsidRPr="00D22FDF">
        <w:t>other product information</w:t>
      </w:r>
      <w:r w:rsidR="003E2F26">
        <w:t xml:space="preserve"> required by </w:t>
      </w:r>
      <w:r w:rsidR="00F002BA">
        <w:t xml:space="preserve">an </w:t>
      </w:r>
      <w:r w:rsidR="003E2F26">
        <w:t>Ecodesign regulation</w:t>
      </w:r>
      <w:r w:rsidRPr="00D22FDF">
        <w:t xml:space="preserve">, the manufacturer </w:t>
      </w:r>
      <w:r w:rsidR="00CF6920">
        <w:t>declared</w:t>
      </w:r>
      <w:r w:rsidR="00CF6920" w:rsidRPr="00D22FDF">
        <w:t xml:space="preserve"> </w:t>
      </w:r>
      <w:r w:rsidRPr="00D22FDF">
        <w:t>values that were more favourable than th</w:t>
      </w:r>
      <w:r w:rsidR="008168F8">
        <w:t>os</w:t>
      </w:r>
      <w:r w:rsidRPr="00D22FDF">
        <w:t xml:space="preserve">e </w:t>
      </w:r>
      <w:r w:rsidR="00CF6920">
        <w:t>given</w:t>
      </w:r>
      <w:r w:rsidR="00CF6920" w:rsidRPr="00D22FDF">
        <w:t xml:space="preserve"> </w:t>
      </w:r>
      <w:r w:rsidRPr="00D22FDF">
        <w:t>in the technical documentation file. The difference remained within the</w:t>
      </w:r>
      <w:r w:rsidR="008168F8">
        <w:t xml:space="preserve"> verification</w:t>
      </w:r>
      <w:r w:rsidRPr="00D22FDF">
        <w:t xml:space="preserve"> tolerance</w:t>
      </w:r>
      <w:r w:rsidR="008168F8">
        <w:t>.</w:t>
      </w:r>
    </w:p>
    <w:p w:rsidR="00396EA7" w:rsidRPr="00D22FDF" w:rsidRDefault="00396EA7" w:rsidP="00396EA7">
      <w:pPr>
        <w:ind w:left="1920" w:hanging="1200"/>
      </w:pPr>
      <w:r w:rsidRPr="00D22FDF">
        <w:rPr>
          <w:i/>
        </w:rPr>
        <w:t>Example</w:t>
      </w:r>
      <w:r w:rsidRPr="00D22FDF">
        <w:rPr>
          <w:i/>
        </w:rPr>
        <w:tab/>
      </w:r>
      <w:r w:rsidRPr="00D22FDF">
        <w:t xml:space="preserve">The yearly energy consumption </w:t>
      </w:r>
      <w:r w:rsidR="00CF6920">
        <w:t>stated</w:t>
      </w:r>
      <w:r w:rsidR="00CF6920" w:rsidRPr="00D22FDF">
        <w:t xml:space="preserve"> </w:t>
      </w:r>
      <w:r w:rsidRPr="00D22FDF">
        <w:t xml:space="preserve">by the manufacturer in the technical documentation file is X, while the value </w:t>
      </w:r>
      <w:r w:rsidR="00CF6920">
        <w:t>declared</w:t>
      </w:r>
      <w:r w:rsidR="00CF6920" w:rsidRPr="00D22FDF">
        <w:t xml:space="preserve"> </w:t>
      </w:r>
      <w:r w:rsidR="00CF6920">
        <w:t>on</w:t>
      </w:r>
      <w:r w:rsidRPr="00D22FDF">
        <w:t xml:space="preserve"> the energy label is X-5</w:t>
      </w:r>
      <w:r w:rsidR="00D22FDF">
        <w:t> </w:t>
      </w:r>
      <w:r w:rsidRPr="00D22FDF">
        <w:t>%.</w:t>
      </w:r>
      <w:r w:rsidRPr="00D22FDF">
        <w:rPr>
          <w:i/>
        </w:rPr>
        <w:t xml:space="preserve"> </w:t>
      </w:r>
      <w:r w:rsidRPr="00D22FDF">
        <w:t>The manufacturer believes this is authorised as</w:t>
      </w:r>
      <w:r w:rsidR="002D287C">
        <w:t xml:space="preserve"> </w:t>
      </w:r>
      <w:r w:rsidR="002D287C" w:rsidRPr="00C4374D">
        <w:t>X-5</w:t>
      </w:r>
      <w:r w:rsidR="002D287C">
        <w:t> </w:t>
      </w:r>
      <w:r w:rsidR="002D287C" w:rsidRPr="00C4374D">
        <w:t>%</w:t>
      </w:r>
      <w:r w:rsidRPr="00D22FDF">
        <w:t xml:space="preserve"> is within the </w:t>
      </w:r>
      <w:r w:rsidR="007F5217" w:rsidRPr="00D22FDF">
        <w:t>10</w:t>
      </w:r>
      <w:r w:rsidR="007F5217">
        <w:t> </w:t>
      </w:r>
      <w:r w:rsidR="007F5217" w:rsidRPr="00D22FDF">
        <w:t>%</w:t>
      </w:r>
      <w:r w:rsidR="007F5217">
        <w:t xml:space="preserve"> </w:t>
      </w:r>
      <w:r w:rsidRPr="00D22FDF">
        <w:t xml:space="preserve">verification tolerance </w:t>
      </w:r>
      <w:r w:rsidR="002D287C">
        <w:t>for</w:t>
      </w:r>
      <w:r w:rsidRPr="00D22FDF">
        <w:t xml:space="preserve"> yearly energy consumption.</w:t>
      </w:r>
    </w:p>
    <w:p w:rsidR="00396EA7" w:rsidRPr="00D22FDF" w:rsidRDefault="00396EA7" w:rsidP="00396EA7">
      <w:r w:rsidRPr="00D22FDF">
        <w:t xml:space="preserve">In all of these cases, it should have been clear that the tolerances </w:t>
      </w:r>
      <w:r w:rsidR="00CF6920">
        <w:t xml:space="preserve">provided for </w:t>
      </w:r>
      <w:r w:rsidRPr="00D22FDF">
        <w:t xml:space="preserve">in the verification procedures are </w:t>
      </w:r>
      <w:r w:rsidR="00CF6920">
        <w:t>intended</w:t>
      </w:r>
      <w:r w:rsidR="00CF6920" w:rsidRPr="00D22FDF">
        <w:t xml:space="preserve"> </w:t>
      </w:r>
      <w:r w:rsidRPr="00D22FDF">
        <w:t xml:space="preserve">for </w:t>
      </w:r>
      <w:r w:rsidR="00B808D8">
        <w:t xml:space="preserve">use </w:t>
      </w:r>
      <w:r w:rsidR="00F002BA">
        <w:t xml:space="preserve">only </w:t>
      </w:r>
      <w:r w:rsidR="00B808D8">
        <w:t xml:space="preserve">by </w:t>
      </w:r>
      <w:r w:rsidRPr="00D22FDF">
        <w:t xml:space="preserve">the market surveillance authorities. Their sole purpose is to allow for unavoidable differences in calibration between the measuring equipment used by the authorities and </w:t>
      </w:r>
      <w:r w:rsidR="00CF6920">
        <w:t xml:space="preserve">that used </w:t>
      </w:r>
      <w:r w:rsidRPr="00D22FDF">
        <w:t xml:space="preserve">by manufacturers. </w:t>
      </w:r>
      <w:r w:rsidR="008168F8">
        <w:t>Having no margin of</w:t>
      </w:r>
      <w:r w:rsidRPr="00D22FDF">
        <w:t xml:space="preserve"> tolerance could unduly penalise some manufacturers. </w:t>
      </w:r>
      <w:r w:rsidR="00CF6920">
        <w:t>T</w:t>
      </w:r>
      <w:r w:rsidRPr="00D22FDF">
        <w:t>he tolerances are not</w:t>
      </w:r>
      <w:r w:rsidR="00CF6920">
        <w:t xml:space="preserve">, however, </w:t>
      </w:r>
      <w:r w:rsidR="008168F8">
        <w:t>intended</w:t>
      </w:r>
      <w:r w:rsidRPr="00D22FDF">
        <w:t xml:space="preserve"> to </w:t>
      </w:r>
      <w:r w:rsidR="007F5217">
        <w:t>give</w:t>
      </w:r>
      <w:r w:rsidRPr="00D22FDF">
        <w:t xml:space="preserve"> </w:t>
      </w:r>
      <w:r w:rsidR="008168F8" w:rsidRPr="00D22FDF">
        <w:t xml:space="preserve">manufacturers </w:t>
      </w:r>
      <w:r w:rsidRPr="00D22FDF">
        <w:t xml:space="preserve">any margin for manipulating </w:t>
      </w:r>
      <w:r w:rsidR="00F002BA">
        <w:t xml:space="preserve">or misrepresenting </w:t>
      </w:r>
      <w:r w:rsidRPr="00D22FDF">
        <w:t xml:space="preserve">the results of </w:t>
      </w:r>
      <w:r w:rsidR="00CF6920">
        <w:t xml:space="preserve">the </w:t>
      </w:r>
      <w:r w:rsidRPr="00D22FDF">
        <w:t>measurements they carried out on their own products.</w:t>
      </w:r>
    </w:p>
    <w:p w:rsidR="00396EA7" w:rsidRPr="00D22FDF" w:rsidRDefault="00396EA7" w:rsidP="00396EA7">
      <w:pPr>
        <w:spacing w:before="0" w:line="276" w:lineRule="auto"/>
        <w:rPr>
          <w:highlight w:val="yellow"/>
          <w:lang w:eastAsia="en-GB"/>
        </w:rPr>
      </w:pPr>
      <w:r w:rsidRPr="00D22FDF">
        <w:t>These forms of misuse lead to the placing on the market of products that</w:t>
      </w:r>
      <w:r w:rsidR="00A13A9F">
        <w:t>:</w:t>
      </w:r>
      <w:r w:rsidRPr="00D22FDF">
        <w:t xml:space="preserve"> </w:t>
      </w:r>
      <w:r w:rsidR="00A13A9F">
        <w:t xml:space="preserve">1. </w:t>
      </w:r>
      <w:r w:rsidRPr="00D22FDF">
        <w:t xml:space="preserve">do not fulfil </w:t>
      </w:r>
      <w:r w:rsidR="00CF6920">
        <w:t xml:space="preserve">the </w:t>
      </w:r>
      <w:r w:rsidRPr="00D22FDF">
        <w:t>applicable ecodesign requirements</w:t>
      </w:r>
      <w:r w:rsidR="00A13A9F">
        <w:t>;</w:t>
      </w:r>
      <w:r w:rsidRPr="00D22FDF">
        <w:t xml:space="preserve"> </w:t>
      </w:r>
      <w:r w:rsidR="00A13A9F">
        <w:t xml:space="preserve">2. </w:t>
      </w:r>
      <w:r w:rsidRPr="00D22FDF">
        <w:t xml:space="preserve">are claimed </w:t>
      </w:r>
      <w:r w:rsidR="00A13A9F">
        <w:t xml:space="preserve">by manufacturers </w:t>
      </w:r>
      <w:r w:rsidRPr="00D22FDF">
        <w:t xml:space="preserve">to belong to higher </w:t>
      </w:r>
      <w:r w:rsidR="00450CA1">
        <w:rPr>
          <w:szCs w:val="24"/>
        </w:rPr>
        <w:t xml:space="preserve">energy efficiency classes </w:t>
      </w:r>
      <w:r w:rsidRPr="00D22FDF">
        <w:t xml:space="preserve">than they </w:t>
      </w:r>
      <w:r w:rsidR="003C5D84">
        <w:t>should</w:t>
      </w:r>
      <w:r w:rsidR="00A13A9F">
        <w:t>;</w:t>
      </w:r>
      <w:r w:rsidRPr="00D22FDF">
        <w:t xml:space="preserve"> or </w:t>
      </w:r>
      <w:r w:rsidR="00A13A9F">
        <w:t xml:space="preserve">3. </w:t>
      </w:r>
      <w:r w:rsidRPr="00D22FDF">
        <w:t xml:space="preserve">are claimed </w:t>
      </w:r>
      <w:r w:rsidR="00A13A9F">
        <w:t xml:space="preserve">by manufacturers </w:t>
      </w:r>
      <w:r w:rsidRPr="00D22FDF">
        <w:t xml:space="preserve">to perform better than </w:t>
      </w:r>
      <w:r w:rsidR="003C5D84">
        <w:t>they do</w:t>
      </w:r>
      <w:r w:rsidR="00A13A9F">
        <w:t xml:space="preserve"> </w:t>
      </w:r>
      <w:r w:rsidRPr="00D22FDF">
        <w:t xml:space="preserve">in reality </w:t>
      </w:r>
      <w:r w:rsidR="00F002BA">
        <w:t xml:space="preserve">for </w:t>
      </w:r>
      <w:r w:rsidRPr="00D22FDF">
        <w:t xml:space="preserve">certain </w:t>
      </w:r>
      <w:r w:rsidR="00A13A9F">
        <w:t>criteria</w:t>
      </w:r>
      <w:r w:rsidR="00A13A9F" w:rsidRPr="00D22FDF">
        <w:t xml:space="preserve"> </w:t>
      </w:r>
      <w:r w:rsidRPr="00D22FDF">
        <w:t>regulated under ecodesign or energy labelling</w:t>
      </w:r>
      <w:r w:rsidR="00053F72">
        <w:t xml:space="preserve"> legislation</w:t>
      </w:r>
      <w:r w:rsidRPr="00D22FDF">
        <w:t xml:space="preserve">. </w:t>
      </w:r>
      <w:r w:rsidR="00E7293F">
        <w:t xml:space="preserve">This </w:t>
      </w:r>
      <w:r w:rsidRPr="00D22FDF">
        <w:t xml:space="preserve">abusive practice (whether intentional or </w:t>
      </w:r>
      <w:r w:rsidR="00A13A9F">
        <w:t>otherwise</w:t>
      </w:r>
      <w:r w:rsidRPr="00D22FDF">
        <w:t>) threaten</w:t>
      </w:r>
      <w:r w:rsidR="00E7293F">
        <w:t>s</w:t>
      </w:r>
      <w:r w:rsidRPr="00D22FDF">
        <w:t xml:space="preserve"> to undermine the objectives of the two </w:t>
      </w:r>
      <w:r w:rsidR="003C5D84">
        <w:t>D</w:t>
      </w:r>
      <w:r w:rsidRPr="00D22FDF">
        <w:t>irectives</w:t>
      </w:r>
      <w:r w:rsidR="00202263">
        <w:t>. The</w:t>
      </w:r>
      <w:r w:rsidR="007F5217">
        <w:t>se practices</w:t>
      </w:r>
      <w:r w:rsidR="00202263">
        <w:t xml:space="preserve"> </w:t>
      </w:r>
      <w:r w:rsidRPr="00D22FDF">
        <w:t xml:space="preserve">also harm </w:t>
      </w:r>
      <w:r w:rsidR="008C1268">
        <w:t xml:space="preserve">honest </w:t>
      </w:r>
      <w:r w:rsidRPr="00D22FDF">
        <w:t xml:space="preserve">companies </w:t>
      </w:r>
      <w:r w:rsidR="00A13A9F">
        <w:t xml:space="preserve">that </w:t>
      </w:r>
      <w:r w:rsidRPr="00D22FDF">
        <w:t xml:space="preserve">suffer </w:t>
      </w:r>
      <w:r w:rsidR="00A13A9F">
        <w:t>as a result of</w:t>
      </w:r>
      <w:r w:rsidR="00A13A9F" w:rsidRPr="00D22FDF">
        <w:t xml:space="preserve"> </w:t>
      </w:r>
      <w:r w:rsidRPr="00D22FDF">
        <w:t xml:space="preserve">unfair competition from suppliers who </w:t>
      </w:r>
      <w:r w:rsidR="001162A7">
        <w:t>'</w:t>
      </w:r>
      <w:r w:rsidRPr="00D22FDF">
        <w:t>over-declare</w:t>
      </w:r>
      <w:r w:rsidR="001162A7">
        <w:t>'</w:t>
      </w:r>
      <w:r w:rsidRPr="00D22FDF">
        <w:t xml:space="preserve"> the performance of their products instead of improving them </w:t>
      </w:r>
      <w:r w:rsidR="00A13A9F">
        <w:t xml:space="preserve">so as to </w:t>
      </w:r>
      <w:r w:rsidR="00202263">
        <w:t>reach</w:t>
      </w:r>
      <w:r w:rsidRPr="00D22FDF">
        <w:t xml:space="preserve"> the required </w:t>
      </w:r>
      <w:r w:rsidR="003C5D84">
        <w:t>standard</w:t>
      </w:r>
      <w:r w:rsidR="00A13A9F">
        <w:t>s</w:t>
      </w:r>
      <w:r w:rsidRPr="00D22FDF">
        <w:t>.</w:t>
      </w:r>
    </w:p>
    <w:p w:rsidR="003544F3" w:rsidRPr="00D22FDF" w:rsidRDefault="0003758F" w:rsidP="000D5E50">
      <w:pPr>
        <w:pStyle w:val="ManualHeading1"/>
      </w:pPr>
      <w:r w:rsidRPr="00D22FDF">
        <w:t>2.</w:t>
      </w:r>
      <w:r w:rsidRPr="00D22FDF">
        <w:tab/>
        <w:t xml:space="preserve">CONSULTATIONS </w:t>
      </w:r>
      <w:r w:rsidR="003544F3" w:rsidRPr="00D22FDF">
        <w:t>AND IMPACT ASSESSMENT</w:t>
      </w:r>
      <w:r w:rsidR="00202263" w:rsidRPr="00202263">
        <w:t xml:space="preserve"> </w:t>
      </w:r>
      <w:r w:rsidR="00202263" w:rsidRPr="00D22FDF">
        <w:t>P</w:t>
      </w:r>
      <w:r w:rsidR="00202263">
        <w:t xml:space="preserve">RIOR TO </w:t>
      </w:r>
      <w:r w:rsidR="006E4E42">
        <w:t xml:space="preserve">THE </w:t>
      </w:r>
      <w:r w:rsidR="00202263" w:rsidRPr="00D22FDF">
        <w:t>ADOPTI</w:t>
      </w:r>
      <w:r w:rsidR="006E4E42">
        <w:t>ON</w:t>
      </w:r>
      <w:r w:rsidR="00202263" w:rsidRPr="00D22FDF">
        <w:t xml:space="preserve"> </w:t>
      </w:r>
      <w:r w:rsidR="006E4E42">
        <w:t xml:space="preserve">OF </w:t>
      </w:r>
      <w:r w:rsidR="00202263" w:rsidRPr="00D22FDF">
        <w:t>THE ACT</w:t>
      </w:r>
    </w:p>
    <w:p w:rsidR="003544F3" w:rsidRPr="00D22FDF" w:rsidRDefault="003544F3" w:rsidP="003544F3">
      <w:pPr>
        <w:spacing w:after="0" w:line="276" w:lineRule="auto"/>
        <w:rPr>
          <w:b/>
        </w:rPr>
      </w:pPr>
      <w:r w:rsidRPr="00D22FDF">
        <w:rPr>
          <w:b/>
        </w:rPr>
        <w:t xml:space="preserve">Consultation </w:t>
      </w:r>
      <w:r w:rsidR="00202263">
        <w:rPr>
          <w:b/>
        </w:rPr>
        <w:t>with</w:t>
      </w:r>
      <w:r w:rsidRPr="00D22FDF">
        <w:rPr>
          <w:b/>
        </w:rPr>
        <w:t xml:space="preserve"> interested parties</w:t>
      </w:r>
    </w:p>
    <w:p w:rsidR="00396EA7" w:rsidRPr="00D22FDF" w:rsidRDefault="00396EA7" w:rsidP="00396EA7">
      <w:pPr>
        <w:spacing w:before="240" w:line="276" w:lineRule="auto"/>
      </w:pPr>
      <w:r w:rsidRPr="00D22FDF">
        <w:rPr>
          <w:i/>
          <w:u w:val="single"/>
        </w:rPr>
        <w:t>Consultation methods, main sectors targeted and general profile of respondents</w:t>
      </w:r>
    </w:p>
    <w:p w:rsidR="00396EA7" w:rsidRPr="00D22FDF" w:rsidRDefault="00396EA7" w:rsidP="00396EA7">
      <w:pPr>
        <w:spacing w:line="276" w:lineRule="auto"/>
        <w:rPr>
          <w:i/>
          <w:u w:val="single"/>
        </w:rPr>
      </w:pPr>
      <w:r w:rsidRPr="00D22FDF">
        <w:lastRenderedPageBreak/>
        <w:t xml:space="preserve">International and EU stakeholders and Member State experts were consulted in the Ecodesign Consultation Forum, which </w:t>
      </w:r>
      <w:r w:rsidR="00A71C6B">
        <w:t>was</w:t>
      </w:r>
      <w:r w:rsidRPr="00D22FDF">
        <w:t xml:space="preserve"> established by </w:t>
      </w:r>
      <w:r w:rsidR="00754A14">
        <w:t xml:space="preserve">the Ecodesign </w:t>
      </w:r>
      <w:r w:rsidRPr="00D22FDF">
        <w:t>Directive</w:t>
      </w:r>
      <w:r w:rsidR="00202263">
        <w:t>. The Forum</w:t>
      </w:r>
      <w:r w:rsidRPr="00D22FDF">
        <w:t xml:space="preserve"> is composed of experts </w:t>
      </w:r>
      <w:r w:rsidR="00202263">
        <w:t>from</w:t>
      </w:r>
      <w:r w:rsidRPr="00D22FDF">
        <w:t xml:space="preserve"> the Member States and a balanced representation of stakeholders, namely environmental and consumer NGOs, retailers and manufacturers. In practice, the Consultation Forum is also used for discussing the delegated acts </w:t>
      </w:r>
      <w:r w:rsidR="00754A14">
        <w:t xml:space="preserve">that the Commission is planning introducing </w:t>
      </w:r>
      <w:r w:rsidRPr="00D22FDF">
        <w:t xml:space="preserve">under the Energy Labelling Directive. </w:t>
      </w:r>
      <w:r w:rsidR="00A71C6B">
        <w:t>At</w:t>
      </w:r>
      <w:r w:rsidRPr="00D22FDF">
        <w:t xml:space="preserve"> the Consultation Forum </w:t>
      </w:r>
      <w:r w:rsidR="00A71C6B">
        <w:t xml:space="preserve">meeting </w:t>
      </w:r>
      <w:r w:rsidRPr="00D22FDF">
        <w:t>o</w:t>
      </w:r>
      <w:r w:rsidR="00732A34">
        <w:t>f</w:t>
      </w:r>
      <w:r w:rsidRPr="00D22FDF">
        <w:t xml:space="preserve"> 20</w:t>
      </w:r>
      <w:r w:rsidR="00202263">
        <w:t> </w:t>
      </w:r>
      <w:r w:rsidRPr="00D22FDF">
        <w:t>November</w:t>
      </w:r>
      <w:r w:rsidR="00202263">
        <w:t> </w:t>
      </w:r>
      <w:r w:rsidRPr="00D22FDF">
        <w:t xml:space="preserve">2012, the Commission services presented working documents </w:t>
      </w:r>
      <w:r w:rsidR="00872847">
        <w:t xml:space="preserve">proposing </w:t>
      </w:r>
      <w:r w:rsidR="00754A14">
        <w:t xml:space="preserve">a </w:t>
      </w:r>
      <w:r w:rsidRPr="00D22FDF">
        <w:t xml:space="preserve">revision of the existing </w:t>
      </w:r>
      <w:r w:rsidR="004C4363">
        <w:t>E</w:t>
      </w:r>
      <w:r w:rsidRPr="00D22FDF">
        <w:t xml:space="preserve">codesign and </w:t>
      </w:r>
      <w:r w:rsidR="004C4363">
        <w:t>Energy L</w:t>
      </w:r>
      <w:r w:rsidRPr="00D22FDF">
        <w:t>abelling measures</w:t>
      </w:r>
      <w:r w:rsidR="00732A34">
        <w:t xml:space="preserve">, </w:t>
      </w:r>
      <w:r w:rsidR="00872847">
        <w:t xml:space="preserve">with </w:t>
      </w:r>
      <w:r w:rsidR="00732A34">
        <w:t xml:space="preserve">the aim </w:t>
      </w:r>
      <w:r w:rsidRPr="00D22FDF">
        <w:t xml:space="preserve">to clarify the intended </w:t>
      </w:r>
      <w:r w:rsidR="00202263">
        <w:t>purpose</w:t>
      </w:r>
      <w:r w:rsidRPr="00D22FDF">
        <w:t xml:space="preserve"> of </w:t>
      </w:r>
      <w:r w:rsidR="00754A14">
        <w:t xml:space="preserve">the </w:t>
      </w:r>
      <w:r w:rsidR="00E7293F">
        <w:t xml:space="preserve">verification </w:t>
      </w:r>
      <w:r w:rsidRPr="00D22FDF">
        <w:t xml:space="preserve">tolerances. </w:t>
      </w:r>
      <w:r w:rsidR="00202263">
        <w:t>T</w:t>
      </w:r>
      <w:r w:rsidR="00202263" w:rsidRPr="00D22FDF">
        <w:t xml:space="preserve">he Commission </w:t>
      </w:r>
      <w:r w:rsidR="00202263">
        <w:t>i</w:t>
      </w:r>
      <w:r w:rsidRPr="00D22FDF">
        <w:t>ncorporat</w:t>
      </w:r>
      <w:r w:rsidR="00A71C6B">
        <w:t>ed</w:t>
      </w:r>
      <w:r w:rsidRPr="00D22FDF">
        <w:t xml:space="preserve"> the comments from Member States and stakeholders </w:t>
      </w:r>
      <w:r w:rsidR="00202263">
        <w:t xml:space="preserve">and </w:t>
      </w:r>
      <w:r w:rsidRPr="00D22FDF">
        <w:t xml:space="preserve">amended the draft documents </w:t>
      </w:r>
      <w:r w:rsidR="00C6506E">
        <w:t>before</w:t>
      </w:r>
      <w:r w:rsidRPr="00D22FDF">
        <w:t xml:space="preserve"> conduct</w:t>
      </w:r>
      <w:r w:rsidR="00C6506E">
        <w:t>ing</w:t>
      </w:r>
      <w:r w:rsidRPr="00D22FDF">
        <w:t xml:space="preserve"> a written consultation </w:t>
      </w:r>
      <w:r w:rsidR="00C6506E">
        <w:t>within</w:t>
      </w:r>
      <w:r w:rsidRPr="00D22FDF">
        <w:t xml:space="preserve"> the Forum</w:t>
      </w:r>
      <w:r w:rsidR="00754A14">
        <w:t>, which lasted</w:t>
      </w:r>
      <w:r w:rsidRPr="00D22FDF">
        <w:t xml:space="preserve"> from July to September 2013.</w:t>
      </w:r>
    </w:p>
    <w:p w:rsidR="00396EA7" w:rsidRPr="00D22FDF" w:rsidRDefault="00396EA7" w:rsidP="00396EA7">
      <w:pPr>
        <w:spacing w:line="276" w:lineRule="auto"/>
      </w:pPr>
      <w:r w:rsidRPr="00D22FDF">
        <w:t>All relevant working documents and studies were circulated to the experts and stakeholders, and published in the Commission</w:t>
      </w:r>
      <w:r w:rsidR="00D22FDF">
        <w:t>’</w:t>
      </w:r>
      <w:r w:rsidRPr="00D22FDF">
        <w:t xml:space="preserve">s </w:t>
      </w:r>
      <w:r w:rsidR="00C6506E" w:rsidRPr="00C6506E">
        <w:rPr>
          <w:lang w:val="en"/>
        </w:rPr>
        <w:t>Communication and Information Resource Centre for Administr</w:t>
      </w:r>
      <w:r w:rsidR="00C6506E">
        <w:rPr>
          <w:lang w:val="en"/>
        </w:rPr>
        <w:t>ations, Businesses and Citizens</w:t>
      </w:r>
      <w:r w:rsidR="00C6506E" w:rsidRPr="00C6506E">
        <w:t xml:space="preserve"> </w:t>
      </w:r>
      <w:r w:rsidR="00732A34">
        <w:t>(</w:t>
      </w:r>
      <w:r w:rsidRPr="00D22FDF">
        <w:t>CIRCABC</w:t>
      </w:r>
      <w:r w:rsidR="00732A34">
        <w:t>)</w:t>
      </w:r>
      <w:r w:rsidRPr="00D22FDF">
        <w:t xml:space="preserve"> system</w:t>
      </w:r>
      <w:r w:rsidR="00754A14">
        <w:t>,</w:t>
      </w:r>
      <w:r w:rsidR="00C6506E" w:rsidRPr="00D22FDF">
        <w:t xml:space="preserve"> </w:t>
      </w:r>
      <w:r w:rsidRPr="00D22FDF">
        <w:t xml:space="preserve">alongside the </w:t>
      </w:r>
      <w:r w:rsidR="00732A34">
        <w:t xml:space="preserve">comments received from </w:t>
      </w:r>
      <w:r w:rsidRPr="00D22FDF">
        <w:t>stakeholder</w:t>
      </w:r>
      <w:r w:rsidR="00732A34">
        <w:t>s</w:t>
      </w:r>
      <w:r w:rsidRPr="00D22FDF">
        <w:t xml:space="preserve"> in writing.</w:t>
      </w:r>
    </w:p>
    <w:p w:rsidR="00396EA7" w:rsidRPr="00D22FDF" w:rsidRDefault="00396EA7" w:rsidP="00396EA7">
      <w:pPr>
        <w:spacing w:before="240" w:line="276" w:lineRule="auto"/>
      </w:pPr>
      <w:r w:rsidRPr="00D22FDF">
        <w:rPr>
          <w:i/>
          <w:u w:val="single"/>
        </w:rPr>
        <w:t>Summary of responses and how they have been taken into account</w:t>
      </w:r>
    </w:p>
    <w:p w:rsidR="00396EA7" w:rsidRPr="00D22FDF" w:rsidRDefault="008C1268" w:rsidP="00396EA7">
      <w:pPr>
        <w:spacing w:line="276" w:lineRule="auto"/>
        <w:rPr>
          <w:highlight w:val="yellow"/>
        </w:rPr>
      </w:pPr>
      <w:r>
        <w:t xml:space="preserve">All </w:t>
      </w:r>
      <w:r w:rsidR="00396EA7" w:rsidRPr="00D22FDF">
        <w:t xml:space="preserve">Member States, </w:t>
      </w:r>
      <w:r w:rsidR="00C6506E">
        <w:t xml:space="preserve">many </w:t>
      </w:r>
      <w:r w:rsidR="00396EA7" w:rsidRPr="00D22FDF">
        <w:t>European industry</w:t>
      </w:r>
      <w:r w:rsidR="00C6506E">
        <w:t xml:space="preserve"> representatives</w:t>
      </w:r>
      <w:r w:rsidR="000064A6">
        <w:t xml:space="preserve"> and</w:t>
      </w:r>
      <w:r w:rsidR="00396EA7" w:rsidRPr="00D22FDF">
        <w:t xml:space="preserve"> consumer and environmental NGOs strongly supported the Commission</w:t>
      </w:r>
      <w:r w:rsidR="00D22FDF">
        <w:t>’</w:t>
      </w:r>
      <w:r w:rsidR="00396EA7" w:rsidRPr="00D22FDF">
        <w:t>s intention to prevent such abuse</w:t>
      </w:r>
      <w:r w:rsidR="00C6506E">
        <w:t>. They also point</w:t>
      </w:r>
      <w:r w:rsidR="00F5096C">
        <w:t>ed</w:t>
      </w:r>
      <w:r w:rsidR="00C6506E">
        <w:t xml:space="preserve"> out that this </w:t>
      </w:r>
      <w:r w:rsidR="00872847">
        <w:t xml:space="preserve">would be essential to </w:t>
      </w:r>
      <w:r w:rsidR="00396EA7" w:rsidRPr="00D22FDF">
        <w:t xml:space="preserve">maintain </w:t>
      </w:r>
      <w:r w:rsidR="00491071">
        <w:t xml:space="preserve">the </w:t>
      </w:r>
      <w:r w:rsidR="00396EA7" w:rsidRPr="00D22FDF">
        <w:t>credibility</w:t>
      </w:r>
      <w:r w:rsidR="000064A6">
        <w:t xml:space="preserve"> of </w:t>
      </w:r>
      <w:r>
        <w:t>E</w:t>
      </w:r>
      <w:r w:rsidR="000064A6">
        <w:t xml:space="preserve">nergy </w:t>
      </w:r>
      <w:r>
        <w:t>L</w:t>
      </w:r>
      <w:r w:rsidR="000064A6">
        <w:t>abelling</w:t>
      </w:r>
      <w:r w:rsidR="00396EA7" w:rsidRPr="00D22FDF">
        <w:t xml:space="preserve"> </w:t>
      </w:r>
      <w:r>
        <w:t xml:space="preserve">and Ecodesign </w:t>
      </w:r>
      <w:r w:rsidR="00C6506E">
        <w:t>in the eyes of</w:t>
      </w:r>
      <w:r w:rsidR="00396EA7" w:rsidRPr="00D22FDF">
        <w:t xml:space="preserve"> consumers.</w:t>
      </w:r>
    </w:p>
    <w:p w:rsidR="00396EA7" w:rsidRPr="00D22FDF" w:rsidRDefault="008C1268" w:rsidP="00396EA7">
      <w:pPr>
        <w:spacing w:after="0"/>
      </w:pPr>
      <w:r>
        <w:t xml:space="preserve">The consultation also revealed </w:t>
      </w:r>
      <w:r w:rsidR="00396EA7" w:rsidRPr="00D22FDF">
        <w:t xml:space="preserve">that </w:t>
      </w:r>
      <w:r w:rsidR="00C31F84">
        <w:t xml:space="preserve">the practice of </w:t>
      </w:r>
      <w:r w:rsidR="00A71C6B">
        <w:t xml:space="preserve">misusing the </w:t>
      </w:r>
      <w:r w:rsidR="000064A6">
        <w:t>verification</w:t>
      </w:r>
      <w:r w:rsidR="00A71C6B">
        <w:t xml:space="preserve"> tolerance</w:t>
      </w:r>
      <w:r w:rsidR="00C31F84">
        <w:t>s</w:t>
      </w:r>
      <w:r w:rsidR="00396EA7" w:rsidRPr="00D22FDF">
        <w:t xml:space="preserve"> has been the</w:t>
      </w:r>
      <w:r w:rsidR="001162A7">
        <w:t xml:space="preserve"> '</w:t>
      </w:r>
      <w:r w:rsidR="00396EA7" w:rsidRPr="00D22FDF">
        <w:t>general rule</w:t>
      </w:r>
      <w:r w:rsidR="001162A7">
        <w:t xml:space="preserve">' </w:t>
      </w:r>
      <w:r w:rsidR="00396EA7" w:rsidRPr="00D22FDF">
        <w:t>in the European lighting industry</w:t>
      </w:r>
      <w:r w:rsidR="000064A6">
        <w:t>, and is</w:t>
      </w:r>
      <w:r w:rsidR="000064A6" w:rsidRPr="000064A6">
        <w:t xml:space="preserve"> </w:t>
      </w:r>
      <w:r w:rsidR="000064A6" w:rsidRPr="00D22FDF">
        <w:t>even described in harmonised standards</w:t>
      </w:r>
      <w:r w:rsidR="00396EA7" w:rsidRPr="00D22FDF">
        <w:t>. When a clarification o</w:t>
      </w:r>
      <w:r w:rsidR="00C31F84">
        <w:t>f</w:t>
      </w:r>
      <w:r w:rsidR="00396EA7" w:rsidRPr="00D22FDF">
        <w:t xml:space="preserve"> the use of tolerances was </w:t>
      </w:r>
      <w:r w:rsidR="00C31F84">
        <w:t>introduced</w:t>
      </w:r>
      <w:r w:rsidR="00C31F84" w:rsidRPr="00D22FDF">
        <w:t xml:space="preserve"> </w:t>
      </w:r>
      <w:r w:rsidR="00396EA7" w:rsidRPr="00D22FDF">
        <w:t>(</w:t>
      </w:r>
      <w:r w:rsidR="00C31F84">
        <w:t xml:space="preserve">albeit a </w:t>
      </w:r>
      <w:r w:rsidR="00396EA7" w:rsidRPr="00D22FDF">
        <w:t xml:space="preserve">less comprehensive </w:t>
      </w:r>
      <w:r w:rsidR="00C31F84">
        <w:t xml:space="preserve">measure </w:t>
      </w:r>
      <w:r w:rsidR="00396EA7" w:rsidRPr="00D22FDF">
        <w:t xml:space="preserve">than the </w:t>
      </w:r>
      <w:r w:rsidR="00C31F84">
        <w:t>amendment being</w:t>
      </w:r>
      <w:r w:rsidR="00C31F84" w:rsidRPr="00D22FDF">
        <w:t xml:space="preserve"> </w:t>
      </w:r>
      <w:r w:rsidR="00396EA7" w:rsidRPr="00D22FDF">
        <w:t xml:space="preserve">proposed </w:t>
      </w:r>
      <w:r w:rsidR="00C31F84">
        <w:t>here</w:t>
      </w:r>
      <w:r w:rsidR="00396EA7" w:rsidRPr="00D22FDF">
        <w:t xml:space="preserve">) during the general revision of the </w:t>
      </w:r>
      <w:r w:rsidR="00C6506E">
        <w:t>L</w:t>
      </w:r>
      <w:r w:rsidR="00396EA7" w:rsidRPr="00D22FDF">
        <w:t xml:space="preserve">amp </w:t>
      </w:r>
      <w:r w:rsidR="00C6506E">
        <w:t>L</w:t>
      </w:r>
      <w:r w:rsidR="00396EA7" w:rsidRPr="00D22FDF">
        <w:t xml:space="preserve">abelling </w:t>
      </w:r>
      <w:r w:rsidR="00C6506E">
        <w:t>D</w:t>
      </w:r>
      <w:r w:rsidR="00396EA7" w:rsidRPr="00D22FDF">
        <w:t>irective (</w:t>
      </w:r>
      <w:r w:rsidR="00C31F84">
        <w:t xml:space="preserve">Commission </w:t>
      </w:r>
      <w:r w:rsidR="00C6506E">
        <w:t>Directive </w:t>
      </w:r>
      <w:r w:rsidR="00396EA7" w:rsidRPr="00D22FDF">
        <w:t xml:space="preserve">98/11/EC, now </w:t>
      </w:r>
      <w:r w:rsidR="00C31F84">
        <w:t xml:space="preserve">Commission Delegated </w:t>
      </w:r>
      <w:r w:rsidR="00396EA7" w:rsidRPr="00D22FDF">
        <w:t xml:space="preserve">Regulation (EU) </w:t>
      </w:r>
      <w:r w:rsidR="00C6506E">
        <w:t>No </w:t>
      </w:r>
      <w:r w:rsidR="00396EA7" w:rsidRPr="00D22FDF">
        <w:t xml:space="preserve">874/2012), lamp suppliers were forced to downgrade most of their halogen lamps from </w:t>
      </w:r>
      <w:r w:rsidR="00C6506E">
        <w:t xml:space="preserve">class </w:t>
      </w:r>
      <w:r w:rsidR="00396EA7" w:rsidRPr="00D22FDF">
        <w:t xml:space="preserve">C to </w:t>
      </w:r>
      <w:r w:rsidR="00C31F84">
        <w:t xml:space="preserve">class </w:t>
      </w:r>
      <w:r w:rsidR="00396EA7" w:rsidRPr="00D22FDF">
        <w:t xml:space="preserve">D. While re-labelling </w:t>
      </w:r>
      <w:r w:rsidR="008A3ED3">
        <w:t xml:space="preserve">in this way </w:t>
      </w:r>
      <w:r w:rsidR="00396EA7" w:rsidRPr="00D22FDF">
        <w:t>should be encouraged</w:t>
      </w:r>
      <w:r w:rsidR="00C31F84">
        <w:t>,</w:t>
      </w:r>
      <w:r w:rsidR="00396EA7" w:rsidRPr="00D22FDF">
        <w:t xml:space="preserve"> </w:t>
      </w:r>
      <w:r w:rsidR="00153A95">
        <w:t>as it</w:t>
      </w:r>
      <w:r w:rsidR="00396EA7" w:rsidRPr="00D22FDF">
        <w:t xml:space="preserve"> provide</w:t>
      </w:r>
      <w:r w:rsidR="00153A95">
        <w:t>s</w:t>
      </w:r>
      <w:r w:rsidR="00396EA7" w:rsidRPr="00D22FDF">
        <w:t xml:space="preserve"> </w:t>
      </w:r>
      <w:r w:rsidR="00B81DAC">
        <w:t xml:space="preserve">consumers with </w:t>
      </w:r>
      <w:r w:rsidR="00396EA7" w:rsidRPr="00D22FDF">
        <w:t xml:space="preserve">more accurate information, if the </w:t>
      </w:r>
      <w:r>
        <w:t>E</w:t>
      </w:r>
      <w:r w:rsidR="00396EA7" w:rsidRPr="00D22FDF">
        <w:t>codesign regulations on lighting products</w:t>
      </w:r>
      <w:r w:rsidR="00153A95">
        <w:t xml:space="preserve"> </w:t>
      </w:r>
      <w:r w:rsidRPr="00D4230F">
        <w:t>(</w:t>
      </w:r>
      <w:r>
        <w:t xml:space="preserve">Commission Regulations </w:t>
      </w:r>
      <w:r w:rsidRPr="00A64640">
        <w:t>(EC) No </w:t>
      </w:r>
      <w:r w:rsidRPr="00D4230F">
        <w:t xml:space="preserve">244/2009, </w:t>
      </w:r>
      <w:r w:rsidRPr="00A64640">
        <w:t>(EC) No </w:t>
      </w:r>
      <w:r w:rsidRPr="00D4230F">
        <w:t xml:space="preserve">245/2009 and </w:t>
      </w:r>
      <w:r w:rsidRPr="00A64640">
        <w:t>(EU) No </w:t>
      </w:r>
      <w:r w:rsidRPr="00D4230F">
        <w:t>1194/2012)</w:t>
      </w:r>
      <w:r>
        <w:t xml:space="preserve"> </w:t>
      </w:r>
      <w:r w:rsidR="00153A95">
        <w:t>were clarified in a similar way</w:t>
      </w:r>
      <w:r w:rsidR="00396EA7" w:rsidRPr="00D22FDF">
        <w:t xml:space="preserve">, </w:t>
      </w:r>
      <w:r w:rsidR="00C31F84">
        <w:t xml:space="preserve">a strict application of the tolerances would lead to </w:t>
      </w:r>
      <w:r w:rsidR="00396EA7" w:rsidRPr="00D22FDF">
        <w:t xml:space="preserve">certain technologies, most notably some </w:t>
      </w:r>
      <w:r w:rsidR="00153A95">
        <w:t xml:space="preserve">types of </w:t>
      </w:r>
      <w:r w:rsidR="00396EA7" w:rsidRPr="00D22FDF">
        <w:t>mains-voltage halogen bulb</w:t>
      </w:r>
      <w:r w:rsidR="00B81DAC">
        <w:t>s</w:t>
      </w:r>
      <w:r w:rsidR="00153A95">
        <w:t>,</w:t>
      </w:r>
      <w:r w:rsidR="00396EA7" w:rsidRPr="00D22FDF">
        <w:t xml:space="preserve"> </w:t>
      </w:r>
      <w:r w:rsidR="00C31F84">
        <w:t>being</w:t>
      </w:r>
      <w:r w:rsidR="00C31F84" w:rsidRPr="00D22FDF">
        <w:t xml:space="preserve"> </w:t>
      </w:r>
      <w:r w:rsidR="00396EA7" w:rsidRPr="00D22FDF">
        <w:t>banned</w:t>
      </w:r>
      <w:r w:rsidR="00D4230F">
        <w:t>.</w:t>
      </w:r>
      <w:r w:rsidR="00396EA7" w:rsidRPr="00D22FDF">
        <w:t xml:space="preserve"> </w:t>
      </w:r>
      <w:r w:rsidR="004C4363">
        <w:t>By contrast,</w:t>
      </w:r>
      <w:r w:rsidR="004C4363" w:rsidRPr="00E04766">
        <w:t xml:space="preserve"> the intention of the legislators</w:t>
      </w:r>
      <w:r w:rsidR="004C4363">
        <w:t>, at the time of drafting the related implementing measure in 2009, was to keep those lamps on the market</w:t>
      </w:r>
      <w:r w:rsidR="004C4363" w:rsidRPr="00E04766">
        <w:t xml:space="preserve">. </w:t>
      </w:r>
      <w:r w:rsidR="004C4363">
        <w:t xml:space="preserve">This intention was re-confirmed in 2015, when Regulation 244/2009 was amended to allow the continued placing on the market of mains-voltage halogen bulbs until 2018 (instead of 2016). </w:t>
      </w:r>
      <w:r w:rsidR="00396EA7" w:rsidRPr="00D22FDF">
        <w:t xml:space="preserve"> </w:t>
      </w:r>
      <w:r w:rsidR="00C31F84">
        <w:t>T</w:t>
      </w:r>
      <w:r w:rsidR="00396EA7" w:rsidRPr="00D22FDF">
        <w:t xml:space="preserve">he related annexes </w:t>
      </w:r>
      <w:r w:rsidR="00153A95">
        <w:t>to</w:t>
      </w:r>
      <w:r w:rsidR="00396EA7" w:rsidRPr="00D22FDF">
        <w:t xml:space="preserve"> the </w:t>
      </w:r>
      <w:r>
        <w:t>l</w:t>
      </w:r>
      <w:r w:rsidR="00396EA7" w:rsidRPr="00D4230F">
        <w:t xml:space="preserve">ighting </w:t>
      </w:r>
      <w:r w:rsidR="00D4230F" w:rsidRPr="00D4230F">
        <w:t>E</w:t>
      </w:r>
      <w:r w:rsidR="00396EA7" w:rsidRPr="00D4230F">
        <w:t xml:space="preserve">codesign </w:t>
      </w:r>
      <w:r w:rsidR="00D4230F" w:rsidRPr="00D4230F">
        <w:t>R</w:t>
      </w:r>
      <w:r w:rsidR="00396EA7" w:rsidRPr="00D4230F">
        <w:t xml:space="preserve">egulations </w:t>
      </w:r>
      <w:r w:rsidR="00396EA7" w:rsidRPr="00D22FDF">
        <w:t>should</w:t>
      </w:r>
      <w:r w:rsidR="00C31F84">
        <w:t>,</w:t>
      </w:r>
      <w:r w:rsidR="00396EA7" w:rsidRPr="00D22FDF">
        <w:t xml:space="preserve"> </w:t>
      </w:r>
      <w:r w:rsidR="00C31F84">
        <w:t xml:space="preserve">therefore, </w:t>
      </w:r>
      <w:r w:rsidR="00396EA7" w:rsidRPr="00D22FDF">
        <w:t xml:space="preserve">instead </w:t>
      </w:r>
      <w:r w:rsidR="001F7B86">
        <w:t xml:space="preserve">be clarified </w:t>
      </w:r>
      <w:r>
        <w:t xml:space="preserve">in the ongoing review of </w:t>
      </w:r>
      <w:r w:rsidR="001F7B86">
        <w:t xml:space="preserve">the Regulations. </w:t>
      </w:r>
      <w:r w:rsidR="004C4363">
        <w:t xml:space="preserve">If the placing on the market of the concerned lamps is still deemed necessary in the review, the </w:t>
      </w:r>
      <w:r w:rsidR="004C4363" w:rsidRPr="00265849">
        <w:t>requirement levels can be adjusted</w:t>
      </w:r>
      <w:r w:rsidR="004C4363">
        <w:t>,</w:t>
      </w:r>
      <w:r w:rsidR="004C4363" w:rsidRPr="00265849">
        <w:t xml:space="preserve"> </w:t>
      </w:r>
      <w:r w:rsidR="004C4363">
        <w:t>so that the revised regulations imposing a strict application of the verification tolerances do not ban the lamps in practice</w:t>
      </w:r>
      <w:r w:rsidR="004C4363" w:rsidRPr="00265849">
        <w:t>.</w:t>
      </w:r>
    </w:p>
    <w:p w:rsidR="00396EA7" w:rsidRPr="00D22FDF" w:rsidRDefault="00E0704D" w:rsidP="00396EA7">
      <w:pPr>
        <w:spacing w:line="276" w:lineRule="auto"/>
      </w:pPr>
      <w:r>
        <w:t>The Commission</w:t>
      </w:r>
      <w:r w:rsidR="001162A7">
        <w:t>'</w:t>
      </w:r>
      <w:r>
        <w:t>s</w:t>
      </w:r>
      <w:r w:rsidRPr="00D22FDF">
        <w:t xml:space="preserve"> </w:t>
      </w:r>
      <w:r w:rsidR="00396EA7" w:rsidRPr="00D22FDF">
        <w:t>investigation has not identified systematic problems in other industr</w:t>
      </w:r>
      <w:r w:rsidR="00872847">
        <w:t>y sector</w:t>
      </w:r>
      <w:r w:rsidR="001F7B86">
        <w:t>s</w:t>
      </w:r>
      <w:r w:rsidR="00396EA7" w:rsidRPr="00D22FDF">
        <w:t xml:space="preserve"> (only anecdotal and inconclusive evidence was found).</w:t>
      </w:r>
      <w:r w:rsidR="004C4363">
        <w:t xml:space="preserve"> However, it is appropriate to clarify the purpose of verification tolerances </w:t>
      </w:r>
      <w:r w:rsidR="00872847">
        <w:t xml:space="preserve">for all regulations </w:t>
      </w:r>
      <w:r w:rsidR="004C4363">
        <w:t xml:space="preserve">so as to provide legal certainty </w:t>
      </w:r>
      <w:r w:rsidR="004C4363">
        <w:lastRenderedPageBreak/>
        <w:t xml:space="preserve">to market surveillance authorities when they </w:t>
      </w:r>
      <w:r w:rsidR="00872847">
        <w:t xml:space="preserve">act </w:t>
      </w:r>
      <w:r w:rsidR="004C4363">
        <w:t xml:space="preserve">against such misuse. Only </w:t>
      </w:r>
      <w:r w:rsidR="00872847">
        <w:t xml:space="preserve">in </w:t>
      </w:r>
      <w:r w:rsidR="004C4363">
        <w:t>this way can future abuse be prevented and a level playing field guaranteed for all economic actors, while ensuring that the improvement potential of the measures is achieved.</w:t>
      </w:r>
    </w:p>
    <w:p w:rsidR="00396EA7" w:rsidRPr="00D22FDF" w:rsidRDefault="00396EA7" w:rsidP="00396EA7">
      <w:pPr>
        <w:spacing w:line="276" w:lineRule="auto"/>
        <w:rPr>
          <w:highlight w:val="yellow"/>
        </w:rPr>
      </w:pPr>
      <w:r w:rsidRPr="00D22FDF">
        <w:t xml:space="preserve">In an effort to fully clarify the purpose of verification tolerances, </w:t>
      </w:r>
      <w:r w:rsidR="001F7B86" w:rsidRPr="00D22FDF">
        <w:t xml:space="preserve">Member State and industry experts </w:t>
      </w:r>
      <w:r w:rsidR="001F7B86">
        <w:t xml:space="preserve">suggested replacing </w:t>
      </w:r>
      <w:r w:rsidR="001F7B86" w:rsidRPr="00D22FDF">
        <w:t xml:space="preserve">the entire verification annex </w:t>
      </w:r>
      <w:r w:rsidR="001F7B86">
        <w:t>rather than</w:t>
      </w:r>
      <w:r w:rsidRPr="00D22FDF">
        <w:t xml:space="preserve"> insert</w:t>
      </w:r>
      <w:r w:rsidR="001F7B86">
        <w:t>ing</w:t>
      </w:r>
      <w:r w:rsidRPr="00D22FDF">
        <w:t xml:space="preserve"> a clarifying paragraph into</w:t>
      </w:r>
      <w:r w:rsidR="001F7B86">
        <w:t xml:space="preserve"> the verification annex to</w:t>
      </w:r>
      <w:r w:rsidRPr="00D22FDF">
        <w:t xml:space="preserve"> each </w:t>
      </w:r>
      <w:r w:rsidR="001F7B86">
        <w:t>R</w:t>
      </w:r>
      <w:r w:rsidRPr="00D22FDF">
        <w:t>egulation</w:t>
      </w:r>
      <w:r w:rsidR="001F7B86">
        <w:t>, as was originally planned</w:t>
      </w:r>
      <w:r w:rsidRPr="00D22FDF">
        <w:t>.</w:t>
      </w:r>
    </w:p>
    <w:p w:rsidR="00396EA7" w:rsidRPr="00D22FDF" w:rsidRDefault="00396EA7" w:rsidP="00396EA7">
      <w:pPr>
        <w:spacing w:before="240" w:line="276" w:lineRule="auto"/>
        <w:rPr>
          <w:i/>
          <w:u w:val="single"/>
        </w:rPr>
      </w:pPr>
      <w:r w:rsidRPr="00D22FDF">
        <w:rPr>
          <w:i/>
          <w:u w:val="single"/>
        </w:rPr>
        <w:t>International stakeholders</w:t>
      </w:r>
    </w:p>
    <w:p w:rsidR="003544F3" w:rsidRPr="00D22FDF" w:rsidRDefault="00396EA7" w:rsidP="003544F3">
      <w:pPr>
        <w:spacing w:line="276" w:lineRule="auto"/>
      </w:pPr>
      <w:r w:rsidRPr="00D22FDF">
        <w:t>The W</w:t>
      </w:r>
      <w:r w:rsidR="00FC4825">
        <w:t xml:space="preserve">orld </w:t>
      </w:r>
      <w:r w:rsidRPr="00D22FDF">
        <w:t>T</w:t>
      </w:r>
      <w:r w:rsidR="00FC4825">
        <w:t xml:space="preserve">rade </w:t>
      </w:r>
      <w:r w:rsidRPr="00D22FDF">
        <w:t>O</w:t>
      </w:r>
      <w:r w:rsidR="00FC4825">
        <w:t>rganisation technical barriers to trade (TBT) committee</w:t>
      </w:r>
      <w:r w:rsidR="00FC4825" w:rsidRPr="00D22FDF">
        <w:t xml:space="preserve"> </w:t>
      </w:r>
      <w:r w:rsidR="00972112">
        <w:t xml:space="preserve">was notified of the proposed measure </w:t>
      </w:r>
      <w:r w:rsidRPr="00D22FDF">
        <w:t xml:space="preserve">on </w:t>
      </w:r>
      <w:r w:rsidRPr="00D22FDF">
        <w:rPr>
          <w:i/>
          <w:color w:val="FF0000"/>
        </w:rPr>
        <w:t>[date after ISC]</w:t>
      </w:r>
      <w:r w:rsidRPr="00D22FDF">
        <w:t>.</w:t>
      </w:r>
    </w:p>
    <w:p w:rsidR="003544F3" w:rsidRPr="00D22FDF" w:rsidRDefault="003544F3" w:rsidP="003544F3">
      <w:pPr>
        <w:spacing w:line="276" w:lineRule="auto"/>
        <w:rPr>
          <w:b/>
        </w:rPr>
      </w:pPr>
      <w:r w:rsidRPr="00D22FDF">
        <w:rPr>
          <w:b/>
        </w:rPr>
        <w:t>Impact assessment</w:t>
      </w:r>
    </w:p>
    <w:p w:rsidR="007C5C7D" w:rsidRDefault="003544F3" w:rsidP="000D5E50">
      <w:pPr>
        <w:spacing w:before="240" w:line="276" w:lineRule="auto"/>
      </w:pPr>
      <w:r w:rsidRPr="00D22FDF">
        <w:t xml:space="preserve">The </w:t>
      </w:r>
      <w:r w:rsidR="00872847">
        <w:t>proposed amendments</w:t>
      </w:r>
      <w:r w:rsidRPr="00D22FDF">
        <w:t xml:space="preserve"> will not introduce new energy labelling requirements. They are intended to clarify the market surveillance procedure </w:t>
      </w:r>
      <w:r w:rsidR="00972112">
        <w:t>—</w:t>
      </w:r>
      <w:r w:rsidRPr="00D22FDF">
        <w:t xml:space="preserve"> which is already set out in each </w:t>
      </w:r>
      <w:r w:rsidR="001F7B86">
        <w:t>R</w:t>
      </w:r>
      <w:r w:rsidRPr="00D22FDF">
        <w:t>egulation to be amended</w:t>
      </w:r>
      <w:r w:rsidR="00972112">
        <w:t xml:space="preserve"> —</w:t>
      </w:r>
      <w:r w:rsidR="00050AC6">
        <w:t xml:space="preserve"> with regard to</w:t>
      </w:r>
      <w:r w:rsidR="00972112">
        <w:t xml:space="preserve"> </w:t>
      </w:r>
      <w:r w:rsidR="00972112" w:rsidRPr="00D22FDF">
        <w:t>the use of verification tolerances</w:t>
      </w:r>
      <w:r w:rsidRPr="00D22FDF">
        <w:t xml:space="preserve">. The proposals will therefore not </w:t>
      </w:r>
      <w:r w:rsidR="007C5C7D">
        <w:t>have</w:t>
      </w:r>
      <w:r w:rsidRPr="00D22FDF">
        <w:t xml:space="preserve"> any new </w:t>
      </w:r>
      <w:r w:rsidR="00B553D0">
        <w:t xml:space="preserve">effect </w:t>
      </w:r>
      <w:r w:rsidR="007C5C7D">
        <w:t>that has</w:t>
      </w:r>
      <w:r w:rsidRPr="00D22FDF">
        <w:rPr>
          <w:lang w:eastAsia="en-GB"/>
        </w:rPr>
        <w:t xml:space="preserve"> </w:t>
      </w:r>
      <w:r w:rsidRPr="007C5C7D">
        <w:rPr>
          <w:lang w:eastAsia="en-GB"/>
        </w:rPr>
        <w:t xml:space="preserve">not </w:t>
      </w:r>
      <w:r w:rsidR="00972112">
        <w:rPr>
          <w:lang w:eastAsia="en-GB"/>
        </w:rPr>
        <w:t>already been approved</w:t>
      </w:r>
      <w:r w:rsidRPr="00972112">
        <w:rPr>
          <w:lang w:eastAsia="en-GB"/>
        </w:rPr>
        <w:t xml:space="preserve"> by</w:t>
      </w:r>
      <w:r w:rsidRPr="00D22FDF">
        <w:rPr>
          <w:lang w:eastAsia="en-GB"/>
        </w:rPr>
        <w:t xml:space="preserve"> the legislators. </w:t>
      </w:r>
      <w:r w:rsidR="004B5B42">
        <w:rPr>
          <w:lang w:eastAsia="en-GB"/>
        </w:rPr>
        <w:t>Instead, by amending the wording of the Regulations, t</w:t>
      </w:r>
      <w:r w:rsidRPr="00D22FDF">
        <w:rPr>
          <w:lang w:eastAsia="en-GB"/>
        </w:rPr>
        <w:t>he</w:t>
      </w:r>
      <w:r w:rsidR="004B5B42">
        <w:rPr>
          <w:lang w:eastAsia="en-GB"/>
        </w:rPr>
        <w:t xml:space="preserve"> proposals</w:t>
      </w:r>
      <w:r w:rsidRPr="00D22FDF">
        <w:rPr>
          <w:lang w:eastAsia="en-GB"/>
        </w:rPr>
        <w:t xml:space="preserve"> aim</w:t>
      </w:r>
      <w:r w:rsidR="004B5B42">
        <w:rPr>
          <w:lang w:eastAsia="en-GB"/>
        </w:rPr>
        <w:t xml:space="preserve"> to</w:t>
      </w:r>
      <w:r w:rsidRPr="00D22FDF">
        <w:rPr>
          <w:lang w:eastAsia="en-GB"/>
        </w:rPr>
        <w:t xml:space="preserve"> ensur</w:t>
      </w:r>
      <w:r w:rsidR="004B5B42">
        <w:rPr>
          <w:lang w:eastAsia="en-GB"/>
        </w:rPr>
        <w:t>e</w:t>
      </w:r>
      <w:r w:rsidRPr="00D22FDF">
        <w:rPr>
          <w:lang w:eastAsia="en-GB"/>
        </w:rPr>
        <w:t xml:space="preserve"> that the</w:t>
      </w:r>
      <w:r w:rsidR="004B5B42">
        <w:rPr>
          <w:lang w:eastAsia="en-GB"/>
        </w:rPr>
        <w:t>y achieve the</w:t>
      </w:r>
      <w:r w:rsidRPr="00D22FDF">
        <w:rPr>
          <w:lang w:eastAsia="en-GB"/>
        </w:rPr>
        <w:t xml:space="preserve"> </w:t>
      </w:r>
      <w:r w:rsidR="004B5B42">
        <w:rPr>
          <w:lang w:eastAsia="en-GB"/>
        </w:rPr>
        <w:t xml:space="preserve">desired </w:t>
      </w:r>
      <w:r w:rsidRPr="00D22FDF">
        <w:rPr>
          <w:lang w:eastAsia="en-GB"/>
        </w:rPr>
        <w:t xml:space="preserve">positive </w:t>
      </w:r>
      <w:r w:rsidR="004B5B42">
        <w:rPr>
          <w:lang w:eastAsia="en-GB"/>
        </w:rPr>
        <w:t>effect</w:t>
      </w:r>
      <w:r w:rsidRPr="00D22FDF">
        <w:t xml:space="preserve">. </w:t>
      </w:r>
    </w:p>
    <w:p w:rsidR="003544F3" w:rsidRPr="00D22FDF" w:rsidRDefault="003544F3" w:rsidP="000D5E50">
      <w:pPr>
        <w:spacing w:before="240" w:line="276" w:lineRule="auto"/>
      </w:pPr>
      <w:r w:rsidRPr="00D22FDF">
        <w:t xml:space="preserve">The </w:t>
      </w:r>
      <w:r w:rsidR="00972112">
        <w:t xml:space="preserve">total </w:t>
      </w:r>
      <w:r w:rsidRPr="00D22FDF">
        <w:t>amount of</w:t>
      </w:r>
      <w:r w:rsidR="00972112">
        <w:t xml:space="preserve"> energy</w:t>
      </w:r>
      <w:r w:rsidRPr="00D22FDF">
        <w:t xml:space="preserve"> savings </w:t>
      </w:r>
      <w:r w:rsidR="00972112">
        <w:t xml:space="preserve">that has been </w:t>
      </w:r>
      <w:r w:rsidR="00B1798E">
        <w:t xml:space="preserve">lost </w:t>
      </w:r>
      <w:r w:rsidR="00972112">
        <w:t xml:space="preserve">as a result of the misuse of verification tolerances </w:t>
      </w:r>
      <w:r w:rsidRPr="00D22FDF">
        <w:t xml:space="preserve">is difficult to estimate, as there are no systematic statistics on this form of </w:t>
      </w:r>
      <w:r w:rsidR="00972112">
        <w:t>mis</w:t>
      </w:r>
      <w:r w:rsidR="00972112" w:rsidRPr="00D22FDF">
        <w:t>use</w:t>
      </w:r>
      <w:r w:rsidRPr="00D22FDF">
        <w:t xml:space="preserve">. </w:t>
      </w:r>
      <w:r w:rsidR="00972112">
        <w:t>T</w:t>
      </w:r>
      <w:r w:rsidRPr="00D22FDF">
        <w:t xml:space="preserve">olerances </w:t>
      </w:r>
      <w:r w:rsidR="00050AC6">
        <w:t>for</w:t>
      </w:r>
      <w:r w:rsidR="00050AC6" w:rsidRPr="00D22FDF">
        <w:t xml:space="preserve"> </w:t>
      </w:r>
      <w:r w:rsidRPr="00D22FDF">
        <w:t>certain regulated parameters can</w:t>
      </w:r>
      <w:r w:rsidR="00972112">
        <w:t>, however,</w:t>
      </w:r>
      <w:r w:rsidRPr="00D22FDF">
        <w:t xml:space="preserve"> be as high as 19</w:t>
      </w:r>
      <w:r w:rsidR="00D22FDF">
        <w:t> </w:t>
      </w:r>
      <w:r w:rsidRPr="00D22FDF">
        <w:t xml:space="preserve">%. The average saving </w:t>
      </w:r>
      <w:r w:rsidR="00B553D0">
        <w:t>from</w:t>
      </w:r>
      <w:r w:rsidR="00B553D0" w:rsidRPr="00D22FDF">
        <w:t xml:space="preserve"> </w:t>
      </w:r>
      <w:r w:rsidRPr="00D22FDF">
        <w:t xml:space="preserve">product efficiency measures is about 35 TWh, </w:t>
      </w:r>
      <w:r w:rsidR="00050AC6">
        <w:t>meaning that</w:t>
      </w:r>
      <w:r w:rsidR="00050AC6" w:rsidRPr="00D22FDF">
        <w:t xml:space="preserve"> </w:t>
      </w:r>
      <w:r w:rsidRPr="00D22FDF">
        <w:t>even 5</w:t>
      </w:r>
      <w:r w:rsidR="00D22FDF">
        <w:t> </w:t>
      </w:r>
      <w:r w:rsidRPr="00D22FDF">
        <w:t xml:space="preserve">% of savings </w:t>
      </w:r>
      <w:r w:rsidR="00050AC6">
        <w:t xml:space="preserve">lost </w:t>
      </w:r>
      <w:r w:rsidRPr="00D22FDF">
        <w:t xml:space="preserve">due to systematic misuse </w:t>
      </w:r>
      <w:r w:rsidR="00972112">
        <w:t xml:space="preserve">of the tolerances </w:t>
      </w:r>
      <w:r w:rsidRPr="00D22FDF">
        <w:t xml:space="preserve">by industry in a particular product group </w:t>
      </w:r>
      <w:r w:rsidR="00050AC6">
        <w:t xml:space="preserve">would </w:t>
      </w:r>
      <w:r w:rsidRPr="00D22FDF">
        <w:t xml:space="preserve">amount to an average </w:t>
      </w:r>
      <w:r w:rsidR="00B553D0">
        <w:t xml:space="preserve">of </w:t>
      </w:r>
      <w:r w:rsidRPr="00D22FDF">
        <w:t>1.5</w:t>
      </w:r>
      <w:r w:rsidR="007C5C7D">
        <w:t> </w:t>
      </w:r>
      <w:r w:rsidRPr="00D22FDF">
        <w:t>TWh of lost savings in one product group</w:t>
      </w:r>
      <w:r w:rsidR="00050AC6">
        <w:t xml:space="preserve"> alone</w:t>
      </w:r>
      <w:r w:rsidRPr="00D22FDF">
        <w:t xml:space="preserve">. The </w:t>
      </w:r>
      <w:r w:rsidR="00137144">
        <w:t>E</w:t>
      </w:r>
      <w:r w:rsidRPr="00D22FDF">
        <w:t xml:space="preserve">codesign and </w:t>
      </w:r>
      <w:r w:rsidR="00137144">
        <w:t>E</w:t>
      </w:r>
      <w:r w:rsidR="00050AC6">
        <w:t xml:space="preserve">nergy </w:t>
      </w:r>
      <w:r w:rsidR="00137144">
        <w:t>L</w:t>
      </w:r>
      <w:r w:rsidRPr="00D22FDF">
        <w:t xml:space="preserve">abelling </w:t>
      </w:r>
      <w:r w:rsidR="00137144">
        <w:t>R</w:t>
      </w:r>
      <w:r w:rsidRPr="00D22FDF">
        <w:t>egulations cover more than 20 product groups.</w:t>
      </w:r>
    </w:p>
    <w:p w:rsidR="0003758F" w:rsidRPr="00D22FDF" w:rsidRDefault="0003758F" w:rsidP="00FB18DC">
      <w:pPr>
        <w:pStyle w:val="ManualHeading1"/>
      </w:pPr>
      <w:r w:rsidRPr="00D22FDF">
        <w:t>3.</w:t>
      </w:r>
      <w:r w:rsidRPr="00D22FDF">
        <w:tab/>
        <w:t>LEGAL ELEMENTS OF THE DELEGATED ACT</w:t>
      </w:r>
    </w:p>
    <w:p w:rsidR="00580789" w:rsidRPr="00706691" w:rsidRDefault="00580789" w:rsidP="00396EA7">
      <w:pPr>
        <w:spacing w:line="276" w:lineRule="auto"/>
        <w:rPr>
          <w:b/>
        </w:rPr>
      </w:pPr>
      <w:r w:rsidRPr="00706691">
        <w:rPr>
          <w:b/>
        </w:rPr>
        <w:t>Summary of the proposed action</w:t>
      </w:r>
    </w:p>
    <w:p w:rsidR="00396EA7" w:rsidRPr="00D22FDF" w:rsidRDefault="00396EA7" w:rsidP="00396EA7">
      <w:pPr>
        <w:spacing w:line="276" w:lineRule="auto"/>
        <w:rPr>
          <w:highlight w:val="yellow"/>
        </w:rPr>
      </w:pPr>
      <w:r w:rsidRPr="00D22FDF">
        <w:t xml:space="preserve">The </w:t>
      </w:r>
      <w:r w:rsidR="00810B3C">
        <w:t>Commission</w:t>
      </w:r>
      <w:r w:rsidR="001162A7" w:rsidRPr="00A93DBC">
        <w:t>'s</w:t>
      </w:r>
      <w:r w:rsidR="001162A7">
        <w:rPr>
          <w:rFonts w:ascii="Calibri" w:hAnsi="Calibri"/>
        </w:rPr>
        <w:t xml:space="preserve"> </w:t>
      </w:r>
      <w:r w:rsidR="00116FFD">
        <w:t xml:space="preserve">proposal is to replace the </w:t>
      </w:r>
      <w:r w:rsidRPr="00D22FDF">
        <w:t xml:space="preserve">existing verification annexes </w:t>
      </w:r>
      <w:r w:rsidR="00810B3C">
        <w:t>to</w:t>
      </w:r>
      <w:r w:rsidR="00810B3C" w:rsidRPr="00D22FDF">
        <w:t xml:space="preserve"> </w:t>
      </w:r>
      <w:r w:rsidRPr="00D22FDF">
        <w:t xml:space="preserve">the ecodesign and labelling regulations </w:t>
      </w:r>
      <w:r w:rsidR="00116FFD">
        <w:t>with</w:t>
      </w:r>
      <w:r w:rsidRPr="00D22FDF">
        <w:t xml:space="preserve"> new ones. The draft new annexes describe in more detail the verification procedure that Member State authorities should follow. The intended use of </w:t>
      </w:r>
      <w:r w:rsidR="00810B3C">
        <w:t xml:space="preserve">the </w:t>
      </w:r>
      <w:r w:rsidR="00143695">
        <w:t>verification</w:t>
      </w:r>
      <w:r w:rsidR="00116FFD">
        <w:t xml:space="preserve"> </w:t>
      </w:r>
      <w:r w:rsidRPr="00D22FDF">
        <w:t>tolerances</w:t>
      </w:r>
      <w:r w:rsidR="00116FFD">
        <w:t xml:space="preserve"> </w:t>
      </w:r>
      <w:r w:rsidR="00580789">
        <w:t xml:space="preserve">is </w:t>
      </w:r>
      <w:r w:rsidR="00116FFD">
        <w:t>clarified</w:t>
      </w:r>
      <w:r w:rsidRPr="00D22FDF">
        <w:t xml:space="preserve"> by requesting that the authorities, wh</w:t>
      </w:r>
      <w:r w:rsidR="00116FFD">
        <w:t>en checking that</w:t>
      </w:r>
      <w:r w:rsidRPr="00D22FDF">
        <w:t xml:space="preserve"> the product compli</w:t>
      </w:r>
      <w:r w:rsidR="00116FFD">
        <w:t>es</w:t>
      </w:r>
      <w:r w:rsidRPr="00D22FDF">
        <w:t xml:space="preserve"> with the</w:t>
      </w:r>
      <w:r w:rsidR="00810B3C">
        <w:t xml:space="preserve"> requirements set out in</w:t>
      </w:r>
      <w:r w:rsidRPr="00D22FDF">
        <w:t xml:space="preserve"> </w:t>
      </w:r>
      <w:r w:rsidR="00810B3C">
        <w:t xml:space="preserve">the </w:t>
      </w:r>
      <w:r w:rsidR="00580789">
        <w:t>R</w:t>
      </w:r>
      <w:r w:rsidRPr="00D22FDF">
        <w:t xml:space="preserve">egulation, </w:t>
      </w:r>
      <w:r w:rsidR="00810B3C">
        <w:t>look for</w:t>
      </w:r>
      <w:r w:rsidR="00810B3C" w:rsidRPr="00D22FDF">
        <w:t xml:space="preserve"> </w:t>
      </w:r>
      <w:r w:rsidR="00810B3C">
        <w:t xml:space="preserve">suppliers employing </w:t>
      </w:r>
      <w:r w:rsidRPr="00D22FDF">
        <w:t xml:space="preserve">the different forms of </w:t>
      </w:r>
      <w:r w:rsidR="00B1798E">
        <w:t>misuse</w:t>
      </w:r>
      <w:r w:rsidRPr="00D22FDF">
        <w:t xml:space="preserve"> of the verification tolerances. If </w:t>
      </w:r>
      <w:r w:rsidR="00116FFD">
        <w:t>they detect</w:t>
      </w:r>
      <w:r w:rsidRPr="00D22FDF">
        <w:t xml:space="preserve"> </w:t>
      </w:r>
      <w:r w:rsidR="00143695">
        <w:t>misuse</w:t>
      </w:r>
      <w:r w:rsidR="00810B3C">
        <w:t xml:space="preserve"> of this type</w:t>
      </w:r>
      <w:r w:rsidRPr="00D22FDF">
        <w:t>, the authorities must declare the product non-compliant on th</w:t>
      </w:r>
      <w:r w:rsidR="00810B3C">
        <w:t>e</w:t>
      </w:r>
      <w:r w:rsidRPr="00D22FDF">
        <w:t>se grounds. The new annexes integrate the tolerances from the original annexes without modifying th</w:t>
      </w:r>
      <w:r w:rsidR="00116FFD">
        <w:t>e</w:t>
      </w:r>
      <w:r w:rsidR="00810B3C">
        <w:t xml:space="preserve"> </w:t>
      </w:r>
      <w:r w:rsidRPr="00D22FDF">
        <w:t>values, as the objective of the clarification exercise is not to revise the individual verification tolerances.</w:t>
      </w:r>
    </w:p>
    <w:p w:rsidR="00396EA7" w:rsidRPr="00D22FDF" w:rsidRDefault="00396EA7" w:rsidP="00396EA7">
      <w:pPr>
        <w:spacing w:line="276" w:lineRule="auto"/>
      </w:pPr>
      <w:r w:rsidRPr="00D22FDF">
        <w:t xml:space="preserve">The amendments </w:t>
      </w:r>
      <w:r w:rsidR="00116FFD">
        <w:t>will</w:t>
      </w:r>
      <w:r w:rsidRPr="00D22FDF">
        <w:t xml:space="preserve"> take immediate effect </w:t>
      </w:r>
      <w:r w:rsidR="00116FFD">
        <w:t xml:space="preserve">when </w:t>
      </w:r>
      <w:r w:rsidRPr="00D22FDF">
        <w:t xml:space="preserve">the proposed Delegated </w:t>
      </w:r>
      <w:r w:rsidR="00736507">
        <w:t xml:space="preserve">Regulation </w:t>
      </w:r>
      <w:r w:rsidR="00116FFD">
        <w:t>enters into force</w:t>
      </w:r>
      <w:r w:rsidRPr="00D22FDF">
        <w:t>.</w:t>
      </w:r>
    </w:p>
    <w:p w:rsidR="00D04DB9" w:rsidRPr="00D22FDF" w:rsidRDefault="00D04DB9" w:rsidP="00D04DB9">
      <w:pPr>
        <w:rPr>
          <w:b/>
        </w:rPr>
      </w:pPr>
      <w:r w:rsidRPr="00D22FDF">
        <w:rPr>
          <w:b/>
        </w:rPr>
        <w:t>Legal basis</w:t>
      </w:r>
    </w:p>
    <w:p w:rsidR="00D04DB9" w:rsidRPr="00D22FDF" w:rsidRDefault="00D04DB9" w:rsidP="00D04DB9">
      <w:r w:rsidRPr="00D22FDF">
        <w:lastRenderedPageBreak/>
        <w:t xml:space="preserve">The Delegated Regulation implements </w:t>
      </w:r>
      <w:r w:rsidR="00810B3C">
        <w:t xml:space="preserve">the </w:t>
      </w:r>
      <w:r w:rsidR="00810B3C" w:rsidRPr="00D22FDF">
        <w:t xml:space="preserve">Energy Labelling Directive </w:t>
      </w:r>
      <w:r w:rsidR="00810B3C">
        <w:t>(</w:t>
      </w:r>
      <w:r w:rsidRPr="00D22FDF">
        <w:t>Directive 2010/30/EU</w:t>
      </w:r>
      <w:r w:rsidR="00810B3C">
        <w:t>)</w:t>
      </w:r>
      <w:r w:rsidRPr="00D22FDF">
        <w:t>, in particular Article 10</w:t>
      </w:r>
      <w:r w:rsidR="00810B3C">
        <w:t xml:space="preserve"> of this Directive</w:t>
      </w:r>
      <w:r w:rsidRPr="00D22FDF">
        <w:t>.</w:t>
      </w:r>
    </w:p>
    <w:p w:rsidR="00D04DB9" w:rsidRPr="00D22FDF" w:rsidRDefault="00D04DB9" w:rsidP="00D04DB9">
      <w:pPr>
        <w:rPr>
          <w:b/>
        </w:rPr>
      </w:pPr>
      <w:r w:rsidRPr="00D22FDF">
        <w:rPr>
          <w:b/>
        </w:rPr>
        <w:t>Subsidiarity principle</w:t>
      </w:r>
    </w:p>
    <w:p w:rsidR="00D04DB9" w:rsidRPr="00D22FDF" w:rsidRDefault="00D04DB9" w:rsidP="00D04DB9">
      <w:r w:rsidRPr="00D22FDF">
        <w:t xml:space="preserve">The Regulation </w:t>
      </w:r>
      <w:r w:rsidR="00116FFD">
        <w:t xml:space="preserve">is </w:t>
      </w:r>
      <w:r w:rsidRPr="00D22FDF">
        <w:t>implement</w:t>
      </w:r>
      <w:r w:rsidR="00116FFD">
        <w:t>ed in accordance with Article 10 of</w:t>
      </w:r>
      <w:r w:rsidRPr="00D22FDF">
        <w:t xml:space="preserve"> Directive 2010/30/EU.</w:t>
      </w:r>
    </w:p>
    <w:p w:rsidR="00D04DB9" w:rsidRPr="00D22FDF" w:rsidRDefault="00B53D9C" w:rsidP="00D04DB9">
      <w:r>
        <w:rPr>
          <w:b/>
        </w:rPr>
        <w:t>P</w:t>
      </w:r>
      <w:r w:rsidRPr="00D22FDF">
        <w:rPr>
          <w:b/>
        </w:rPr>
        <w:t xml:space="preserve">rinciple </w:t>
      </w:r>
      <w:r>
        <w:rPr>
          <w:b/>
        </w:rPr>
        <w:t>of p</w:t>
      </w:r>
      <w:r w:rsidR="00D04DB9" w:rsidRPr="00D22FDF">
        <w:rPr>
          <w:b/>
        </w:rPr>
        <w:t>roportionality</w:t>
      </w:r>
    </w:p>
    <w:p w:rsidR="00D04DB9" w:rsidRPr="00D22FDF" w:rsidRDefault="00D04DB9" w:rsidP="00D04DB9">
      <w:r w:rsidRPr="00D22FDF">
        <w:t xml:space="preserve">In accordance with the principle of proportionality, </w:t>
      </w:r>
      <w:r w:rsidR="00860272" w:rsidRPr="00D22FDF">
        <w:t>th</w:t>
      </w:r>
      <w:r w:rsidR="00860272">
        <w:t>e proposed Delegated Regulation</w:t>
      </w:r>
      <w:r w:rsidRPr="00D22FDF">
        <w:t xml:space="preserve"> does not go beyond what is necessary to achieve its objective.</w:t>
      </w:r>
    </w:p>
    <w:p w:rsidR="00D04DB9" w:rsidRPr="00D22FDF" w:rsidRDefault="00D04DB9" w:rsidP="00D04DB9">
      <w:r w:rsidRPr="00D22FDF">
        <w:t xml:space="preserve">The form of the implementing measure is a </w:t>
      </w:r>
      <w:r w:rsidR="00860272">
        <w:t xml:space="preserve">Delegated </w:t>
      </w:r>
      <w:r w:rsidRPr="00D22FDF">
        <w:t xml:space="preserve">Regulation, which is directly applicable in all Member States. This ensures that </w:t>
      </w:r>
      <w:r w:rsidR="00B53D9C">
        <w:t xml:space="preserve">neither </w:t>
      </w:r>
      <w:r w:rsidRPr="00D22FDF">
        <w:t xml:space="preserve">national </w:t>
      </w:r>
      <w:r w:rsidR="00B53D9C">
        <w:t>authorities nor the</w:t>
      </w:r>
      <w:r w:rsidRPr="00D22FDF">
        <w:t xml:space="preserve"> EU </w:t>
      </w:r>
      <w:r w:rsidR="00B53D9C">
        <w:t>institutions</w:t>
      </w:r>
      <w:r w:rsidRPr="00D22FDF">
        <w:t xml:space="preserve"> will incur any costs </w:t>
      </w:r>
      <w:r w:rsidR="00B53D9C">
        <w:t>in</w:t>
      </w:r>
      <w:r w:rsidRPr="00D22FDF">
        <w:t xml:space="preserve"> transposing the implementing legislation into national </w:t>
      </w:r>
      <w:r w:rsidR="00B53D9C">
        <w:t>law</w:t>
      </w:r>
      <w:r w:rsidRPr="00D22FDF">
        <w:t>.</w:t>
      </w:r>
    </w:p>
    <w:p w:rsidR="00D04DB9" w:rsidRPr="00D22FDF" w:rsidRDefault="00D04DB9" w:rsidP="00D04DB9">
      <w:r w:rsidRPr="00D22FDF">
        <w:rPr>
          <w:b/>
        </w:rPr>
        <w:t>Choice of instrument</w:t>
      </w:r>
    </w:p>
    <w:p w:rsidR="00D04DB9" w:rsidRPr="00D22FDF" w:rsidRDefault="00D04DB9" w:rsidP="00D04DB9">
      <w:r w:rsidRPr="00D22FDF">
        <w:t>Proposed instrument: Delegated Regulation.</w:t>
      </w:r>
    </w:p>
    <w:p w:rsidR="00E2757D" w:rsidRPr="00D22FDF" w:rsidRDefault="00E2757D" w:rsidP="00D04DB9">
      <w:r w:rsidRPr="00FB02E1">
        <w:t xml:space="preserve">The proposed </w:t>
      </w:r>
      <w:r w:rsidR="00B53D9C" w:rsidRPr="00FB02E1">
        <w:t>instrument</w:t>
      </w:r>
      <w:r w:rsidRPr="00FB02E1">
        <w:t xml:space="preserve"> is an amending Commission Delegated Regulation, because </w:t>
      </w:r>
      <w:r w:rsidR="00FB02E1" w:rsidRPr="00FB02E1">
        <w:t xml:space="preserve">only by </w:t>
      </w:r>
      <w:r w:rsidRPr="00FB02E1">
        <w:t xml:space="preserve">amending </w:t>
      </w:r>
      <w:r w:rsidR="00FB02E1" w:rsidRPr="00706691">
        <w:t xml:space="preserve">the </w:t>
      </w:r>
      <w:r w:rsidRPr="00FB02E1">
        <w:t xml:space="preserve">Commission </w:t>
      </w:r>
      <w:r w:rsidR="003544F3" w:rsidRPr="00FB02E1">
        <w:t xml:space="preserve">Delegated </w:t>
      </w:r>
      <w:r w:rsidRPr="00FB02E1">
        <w:t xml:space="preserve">Regulations </w:t>
      </w:r>
      <w:r w:rsidR="00FB02E1" w:rsidRPr="00706691">
        <w:t xml:space="preserve">adopted </w:t>
      </w:r>
      <w:r w:rsidRPr="00FB02E1">
        <w:t>under Directive</w:t>
      </w:r>
      <w:r w:rsidR="00FB02E1" w:rsidRPr="00706691">
        <w:t> </w:t>
      </w:r>
      <w:r w:rsidRPr="00FB02E1">
        <w:t>20</w:t>
      </w:r>
      <w:r w:rsidR="003544F3" w:rsidRPr="00FB02E1">
        <w:t>10</w:t>
      </w:r>
      <w:r w:rsidRPr="00FB02E1">
        <w:t>/</w:t>
      </w:r>
      <w:r w:rsidR="003544F3" w:rsidRPr="00FB02E1">
        <w:t>30</w:t>
      </w:r>
      <w:r w:rsidRPr="00FB02E1">
        <w:t>/E</w:t>
      </w:r>
      <w:r w:rsidR="003544F3" w:rsidRPr="00FB02E1">
        <w:t>U</w:t>
      </w:r>
      <w:r w:rsidRPr="00FB02E1">
        <w:t xml:space="preserve"> can </w:t>
      </w:r>
      <w:r w:rsidR="00FB02E1" w:rsidRPr="00FB02E1">
        <w:t>requirements</w:t>
      </w:r>
      <w:r w:rsidRPr="00FB02E1">
        <w:t xml:space="preserve"> be fully harmonised throughout the EU (including the date of entry into force)</w:t>
      </w:r>
      <w:r w:rsidR="00B53D9C" w:rsidRPr="00FB02E1">
        <w:t>.</w:t>
      </w:r>
      <w:r w:rsidR="00B53D9C">
        <w:t xml:space="preserve"> This</w:t>
      </w:r>
      <w:r w:rsidRPr="00D22FDF">
        <w:t xml:space="preserve"> ensur</w:t>
      </w:r>
      <w:r w:rsidR="00B53D9C">
        <w:t>es</w:t>
      </w:r>
      <w:r w:rsidRPr="00D22FDF">
        <w:t xml:space="preserve"> the free movement of complying products. </w:t>
      </w:r>
      <w:r w:rsidR="00810B3C">
        <w:t>N</w:t>
      </w:r>
      <w:r w:rsidRPr="00D22FDF">
        <w:t>ational administrations</w:t>
      </w:r>
      <w:r w:rsidR="00810B3C">
        <w:t xml:space="preserve"> will thus not incur any costs</w:t>
      </w:r>
      <w:r w:rsidRPr="00D22FDF">
        <w:t xml:space="preserve"> for </w:t>
      </w:r>
      <w:r w:rsidR="00810B3C" w:rsidRPr="00D22FDF">
        <w:t>transpos</w:t>
      </w:r>
      <w:r w:rsidR="00810B3C">
        <w:t>ing</w:t>
      </w:r>
      <w:r w:rsidR="00810B3C" w:rsidRPr="00D22FDF">
        <w:t xml:space="preserve"> </w:t>
      </w:r>
      <w:r w:rsidR="00810B3C">
        <w:t xml:space="preserve">these requirements </w:t>
      </w:r>
      <w:r w:rsidRPr="00D22FDF">
        <w:t>into national legislation.</w:t>
      </w:r>
    </w:p>
    <w:p w:rsidR="00D04DB9" w:rsidRPr="00D22FDF" w:rsidRDefault="00E2757D" w:rsidP="00E2757D">
      <w:pPr>
        <w:pStyle w:val="ManualHeading1"/>
      </w:pPr>
      <w:r w:rsidRPr="00D22FDF">
        <w:t>4.</w:t>
      </w:r>
      <w:r w:rsidRPr="00D22FDF">
        <w:tab/>
      </w:r>
      <w:r w:rsidR="003544F3" w:rsidRPr="00D22FDF">
        <w:t>BUDGETARY IMPLICATION</w:t>
      </w:r>
    </w:p>
    <w:p w:rsidR="00D04DB9" w:rsidRPr="00D22FDF" w:rsidRDefault="00D04DB9" w:rsidP="00D04DB9">
      <w:r w:rsidRPr="00D22FDF">
        <w:t>The proposal has no implications for the EU budget.</w:t>
      </w:r>
    </w:p>
    <w:p w:rsidR="00D04DB9" w:rsidRPr="00D22FDF" w:rsidRDefault="00E2757D" w:rsidP="00E2757D">
      <w:pPr>
        <w:pStyle w:val="ManualHeading1"/>
      </w:pPr>
      <w:r w:rsidRPr="00D22FDF">
        <w:t>5.</w:t>
      </w:r>
      <w:r w:rsidRPr="00D22FDF">
        <w:tab/>
      </w:r>
      <w:r w:rsidR="003544F3" w:rsidRPr="00D22FDF">
        <w:t>ADDITIONAL INFORMATION</w:t>
      </w:r>
    </w:p>
    <w:p w:rsidR="00D04DB9" w:rsidRPr="00D22FDF" w:rsidRDefault="00D04DB9" w:rsidP="00D04DB9">
      <w:r w:rsidRPr="00D22FDF">
        <w:rPr>
          <w:b/>
        </w:rPr>
        <w:t>Review/revision/sunset clause</w:t>
      </w:r>
    </w:p>
    <w:p w:rsidR="00AD147B" w:rsidRPr="00C4374D" w:rsidRDefault="00AD147B" w:rsidP="00AD147B">
      <w:pPr>
        <w:spacing w:before="0" w:line="276" w:lineRule="auto"/>
      </w:pPr>
      <w:r w:rsidRPr="00C4374D">
        <w:t xml:space="preserve">The proposal </w:t>
      </w:r>
      <w:r>
        <w:t xml:space="preserve">does not </w:t>
      </w:r>
      <w:r w:rsidRPr="00C4374D">
        <w:t>include</w:t>
      </w:r>
      <w:r>
        <w:t xml:space="preserve"> a</w:t>
      </w:r>
      <w:r w:rsidRPr="00C4374D">
        <w:t xml:space="preserve"> review clause, because the Commission </w:t>
      </w:r>
      <w:r>
        <w:t xml:space="preserve">Delegated </w:t>
      </w:r>
      <w:r w:rsidRPr="00C4374D">
        <w:t>Regulations to be amended already have review clauses, which remain unchanged.</w:t>
      </w:r>
    </w:p>
    <w:p w:rsidR="00D04DB9" w:rsidRPr="00D22FDF" w:rsidRDefault="00D04DB9" w:rsidP="00D04DB9">
      <w:r w:rsidRPr="00D22FDF">
        <w:rPr>
          <w:b/>
        </w:rPr>
        <w:t>European Economic Area</w:t>
      </w:r>
    </w:p>
    <w:p w:rsidR="00D04DB9" w:rsidRPr="00D22FDF" w:rsidRDefault="00D04DB9" w:rsidP="000D5E50">
      <w:r w:rsidRPr="00D22FDF">
        <w:t xml:space="preserve">The proposed </w:t>
      </w:r>
      <w:r w:rsidR="00736507">
        <w:t>Regulation</w:t>
      </w:r>
      <w:r w:rsidR="00736507" w:rsidRPr="00D22FDF">
        <w:t xml:space="preserve"> </w:t>
      </w:r>
      <w:r w:rsidRPr="00D22FDF">
        <w:t>concerns an EEA matter and should therefore extend to the European Economic Area.</w:t>
      </w:r>
    </w:p>
    <w:p w:rsidR="0003758F" w:rsidRPr="00D22FDF" w:rsidRDefault="0003758F" w:rsidP="00815964">
      <w:pPr>
        <w:sectPr w:rsidR="0003758F" w:rsidRPr="00D22FDF" w:rsidSect="00241492">
          <w:footerReference w:type="default" r:id="rId15"/>
          <w:footerReference w:type="first" r:id="rId16"/>
          <w:pgSz w:w="11907" w:h="16839"/>
          <w:pgMar w:top="1134" w:right="1417" w:bottom="1134" w:left="1417" w:header="709" w:footer="709" w:gutter="0"/>
          <w:cols w:space="708"/>
          <w:docGrid w:linePitch="360"/>
        </w:sectPr>
      </w:pPr>
    </w:p>
    <w:p w:rsidR="0003758F" w:rsidRPr="00D22FDF" w:rsidRDefault="00750822" w:rsidP="00750822">
      <w:pPr>
        <w:pStyle w:val="Typedudocument"/>
      </w:pPr>
      <w:r w:rsidRPr="00750822">
        <w:lastRenderedPageBreak/>
        <w:t>COMMISSION DELEGATED REGULATION (EU) …/...</w:t>
      </w:r>
    </w:p>
    <w:p w:rsidR="0003758F" w:rsidRPr="00A8295F" w:rsidRDefault="00750822" w:rsidP="00750822">
      <w:pPr>
        <w:pStyle w:val="Datedadoption"/>
        <w:rPr>
          <w:lang w:val="pt-PT"/>
        </w:rPr>
      </w:pPr>
      <w:r w:rsidRPr="00A8295F">
        <w:rPr>
          <w:lang w:val="pt-PT"/>
        </w:rPr>
        <w:t xml:space="preserve">of </w:t>
      </w:r>
      <w:r w:rsidRPr="00A8295F">
        <w:rPr>
          <w:rStyle w:val="Marker2"/>
          <w:lang w:val="pt-PT"/>
        </w:rPr>
        <w:t>XXX</w:t>
      </w:r>
    </w:p>
    <w:p w:rsidR="0003758F" w:rsidRPr="00706691" w:rsidRDefault="00750822" w:rsidP="00750822">
      <w:pPr>
        <w:pStyle w:val="Titreobjet"/>
        <w:rPr>
          <w:lang w:val="pt-PT"/>
        </w:rPr>
      </w:pPr>
      <w:r w:rsidRPr="00750822">
        <w:rPr>
          <w:lang w:val="pt-PT"/>
        </w:rPr>
        <w:t>amending Delegated Regulations (EU) No 1059/2010, (EU) No 1060/2010, (EU) No 1061/2010, (EU) No 1062/2010, (EU) No 626/2011, (EU) No 392/2012, (EU) No 874/2012, (EU) No 665/2013, (EU) No 811/2013, (EU) No 812/2013, (EU) No 65/2014, (EU) No 1254/2014, (EU) 2015/1094, (EU) 2015/1186 and (EU) 2015/1187 with regard to the use of tolerances in verification procedures</w:t>
      </w:r>
      <w:r w:rsidRPr="00750822">
        <w:rPr>
          <w:lang w:val="pt-PT"/>
        </w:rPr>
        <w:br/>
      </w:r>
    </w:p>
    <w:p w:rsidR="00750822" w:rsidRDefault="00750822" w:rsidP="00750822">
      <w:pPr>
        <w:pStyle w:val="IntrtEEE"/>
      </w:pPr>
      <w:r w:rsidRPr="00750822">
        <w:t>(Text with EEA relevance)</w:t>
      </w:r>
    </w:p>
    <w:p w:rsidR="00835371" w:rsidRPr="00D22FDF" w:rsidRDefault="00835371" w:rsidP="00835371">
      <w:pPr>
        <w:pStyle w:val="Institutionquiagit"/>
      </w:pPr>
      <w:r w:rsidRPr="00D22FDF">
        <w:t>THE EUROPEAN COMMISSION,</w:t>
      </w:r>
    </w:p>
    <w:p w:rsidR="00835371" w:rsidRPr="00D22FDF" w:rsidRDefault="00835371" w:rsidP="00835371">
      <w:r w:rsidRPr="00D22FDF">
        <w:t>Having regard to the Treaty on the Functioning of the European Union,</w:t>
      </w:r>
    </w:p>
    <w:p w:rsidR="00835371" w:rsidRPr="00D22FDF" w:rsidRDefault="00835371" w:rsidP="00835371">
      <w:r w:rsidRPr="00D22FDF">
        <w:t>Having regard to Directive 2010/30/EU of the European Parliament and of the Council of 19</w:t>
      </w:r>
      <w:r w:rsidR="006216FC">
        <w:t> </w:t>
      </w:r>
      <w:r w:rsidRPr="00D22FDF">
        <w:t>May</w:t>
      </w:r>
      <w:r w:rsidR="006216FC">
        <w:t> </w:t>
      </w:r>
      <w:r w:rsidRPr="00D22FDF">
        <w:t xml:space="preserve">2010 on the indication by labelling and standard product information of the consumption of energy and other resources by energy-related </w:t>
      </w:r>
      <w:r w:rsidRPr="00E16C7A">
        <w:t>products</w:t>
      </w:r>
      <w:r w:rsidRPr="00E16C7A">
        <w:rPr>
          <w:rStyle w:val="Fotnotereferanse"/>
        </w:rPr>
        <w:footnoteReference w:id="1"/>
      </w:r>
      <w:r w:rsidRPr="00E16C7A">
        <w:t>,</w:t>
      </w:r>
      <w:r w:rsidR="00486B7C" w:rsidRPr="00E16C7A">
        <w:t xml:space="preserve"> and in particular Article 10(1) thereof,</w:t>
      </w:r>
    </w:p>
    <w:p w:rsidR="00835371" w:rsidRPr="00D22FDF" w:rsidRDefault="00835371" w:rsidP="00835371">
      <w:r w:rsidRPr="00D22FDF">
        <w:t>Whereas:</w:t>
      </w:r>
    </w:p>
    <w:p w:rsidR="00835371" w:rsidRPr="00D22FDF" w:rsidRDefault="00835371" w:rsidP="00E8274E">
      <w:pPr>
        <w:pStyle w:val="Considrant"/>
        <w:numPr>
          <w:ilvl w:val="0"/>
          <w:numId w:val="1"/>
        </w:numPr>
      </w:pPr>
      <w:r w:rsidRPr="00D22FDF">
        <w:t xml:space="preserve">Experience gained </w:t>
      </w:r>
      <w:r w:rsidR="00F70191">
        <w:t>in</w:t>
      </w:r>
      <w:r w:rsidRPr="00D22FDF">
        <w:t xml:space="preserve"> implement</w:t>
      </w:r>
      <w:r w:rsidR="00F70191">
        <w:t>ing</w:t>
      </w:r>
      <w:r w:rsidRPr="00D22FDF">
        <w:t xml:space="preserve"> </w:t>
      </w:r>
      <w:r w:rsidR="002C3002">
        <w:t>Commission Delegated R</w:t>
      </w:r>
      <w:r w:rsidRPr="00D22FDF">
        <w:t xml:space="preserve">egulations </w:t>
      </w:r>
      <w:r w:rsidR="00997524">
        <w:t>adopted on the basis of</w:t>
      </w:r>
      <w:r w:rsidR="00317A8A">
        <w:t xml:space="preserve"> Directive</w:t>
      </w:r>
      <w:r w:rsidR="00317A8A" w:rsidRPr="00D22FDF">
        <w:t xml:space="preserve"> </w:t>
      </w:r>
      <w:r w:rsidR="00997524">
        <w:t xml:space="preserve">2010/30/EU </w:t>
      </w:r>
      <w:r w:rsidR="00B553D0">
        <w:t xml:space="preserve">has </w:t>
      </w:r>
      <w:r w:rsidRPr="00D22FDF">
        <w:t>reveal</w:t>
      </w:r>
      <w:r w:rsidR="00B553D0">
        <w:t>ed</w:t>
      </w:r>
      <w:r w:rsidRPr="00D22FDF">
        <w:t xml:space="preserve"> that </w:t>
      </w:r>
      <w:r w:rsidR="00F70191">
        <w:t xml:space="preserve">the </w:t>
      </w:r>
      <w:r w:rsidR="00FB02E1">
        <w:t>verification</w:t>
      </w:r>
      <w:r w:rsidRPr="00D22FDF">
        <w:t xml:space="preserve"> tolerances </w:t>
      </w:r>
      <w:r w:rsidR="00FB02E1">
        <w:t xml:space="preserve">laid down </w:t>
      </w:r>
      <w:r w:rsidRPr="00D22FDF">
        <w:t xml:space="preserve">in </w:t>
      </w:r>
      <w:r w:rsidRPr="00872847">
        <w:t>the delegated acts</w:t>
      </w:r>
      <w:r w:rsidR="00317A8A" w:rsidRPr="00872847">
        <w:t xml:space="preserve">, and intended for use </w:t>
      </w:r>
      <w:r w:rsidR="00872847" w:rsidRPr="00872847">
        <w:t xml:space="preserve">only </w:t>
      </w:r>
      <w:r w:rsidR="00317A8A" w:rsidRPr="00872847">
        <w:t>by market surveillance authorities,</w:t>
      </w:r>
      <w:r w:rsidRPr="00D22FDF">
        <w:t xml:space="preserve"> have been used by some suppliers to establish the values </w:t>
      </w:r>
      <w:r w:rsidR="00997524">
        <w:t xml:space="preserve">required to be provided </w:t>
      </w:r>
      <w:r w:rsidRPr="00D22FDF">
        <w:t>in the technical documentation or to interpret th</w:t>
      </w:r>
      <w:r w:rsidR="00997524">
        <w:t>o</w:t>
      </w:r>
      <w:r w:rsidRPr="00D22FDF">
        <w:t>se values with a view to achiev</w:t>
      </w:r>
      <w:r w:rsidR="0083518D">
        <w:t>ing</w:t>
      </w:r>
      <w:r w:rsidRPr="00D22FDF">
        <w:t xml:space="preserve"> a better </w:t>
      </w:r>
      <w:r w:rsidR="00FB02E1">
        <w:t xml:space="preserve">energy </w:t>
      </w:r>
      <w:r w:rsidRPr="00D22FDF">
        <w:t xml:space="preserve">labelling classification or to </w:t>
      </w:r>
      <w:r w:rsidR="00317A8A">
        <w:t>suggest, in other ways,</w:t>
      </w:r>
      <w:r w:rsidRPr="00D22FDF">
        <w:t xml:space="preserve"> better performance </w:t>
      </w:r>
      <w:r w:rsidR="0083518D">
        <w:t xml:space="preserve">of </w:t>
      </w:r>
      <w:r w:rsidR="00317A8A">
        <w:t>their products</w:t>
      </w:r>
      <w:r w:rsidRPr="00D22FDF">
        <w:t>.</w:t>
      </w:r>
    </w:p>
    <w:p w:rsidR="00872847" w:rsidRDefault="00F70191" w:rsidP="00E8274E">
      <w:pPr>
        <w:pStyle w:val="Considrant"/>
        <w:numPr>
          <w:ilvl w:val="0"/>
          <w:numId w:val="1"/>
        </w:numPr>
      </w:pPr>
      <w:r>
        <w:t xml:space="preserve">The </w:t>
      </w:r>
      <w:r w:rsidR="00F62B9F">
        <w:t>verification</w:t>
      </w:r>
      <w:r>
        <w:t xml:space="preserve"> tolerances </w:t>
      </w:r>
      <w:r w:rsidR="00F62B9F">
        <w:t xml:space="preserve">are </w:t>
      </w:r>
      <w:r w:rsidR="000E359E">
        <w:t>designed</w:t>
      </w:r>
      <w:r w:rsidR="00835371" w:rsidRPr="00D22FDF">
        <w:t xml:space="preserve"> to allow for variations</w:t>
      </w:r>
      <w:r w:rsidR="00B62380">
        <w:t xml:space="preserve"> that emerge</w:t>
      </w:r>
      <w:r w:rsidR="00835371" w:rsidRPr="00D22FDF">
        <w:t xml:space="preserve"> </w:t>
      </w:r>
      <w:r>
        <w:t>in</w:t>
      </w:r>
      <w:r w:rsidR="00835371" w:rsidRPr="00D22FDF">
        <w:t xml:space="preserve"> the measurement</w:t>
      </w:r>
      <w:r>
        <w:t xml:space="preserve">s taken </w:t>
      </w:r>
      <w:r w:rsidR="00B62380">
        <w:t>during</w:t>
      </w:r>
      <w:r w:rsidR="00835371" w:rsidRPr="00D22FDF">
        <w:t xml:space="preserve"> verification tests</w:t>
      </w:r>
      <w:r w:rsidR="00997524">
        <w:t>, which are</w:t>
      </w:r>
      <w:r w:rsidR="00835371" w:rsidRPr="00D22FDF">
        <w:t xml:space="preserve"> due to the differences in the measurement equipment used by </w:t>
      </w:r>
      <w:r w:rsidR="0083518D">
        <w:t>suppliers</w:t>
      </w:r>
      <w:r w:rsidR="00835371" w:rsidRPr="00D22FDF">
        <w:t xml:space="preserve"> and surveillance authorities across the </w:t>
      </w:r>
      <w:r w:rsidR="00997524">
        <w:t>Union</w:t>
      </w:r>
      <w:r w:rsidR="00835371" w:rsidRPr="00D22FDF">
        <w:t xml:space="preserve">. Verification tolerances should not be used by the supplier </w:t>
      </w:r>
      <w:r w:rsidR="00997524">
        <w:t xml:space="preserve">for </w:t>
      </w:r>
      <w:r w:rsidR="00835371" w:rsidRPr="00D22FDF">
        <w:t>establish</w:t>
      </w:r>
      <w:r w:rsidR="0083518D">
        <w:t>ing</w:t>
      </w:r>
      <w:r w:rsidR="00835371" w:rsidRPr="00D22FDF">
        <w:t xml:space="preserve"> the values in the technical documentation or </w:t>
      </w:r>
      <w:r w:rsidR="00997524">
        <w:t>for</w:t>
      </w:r>
      <w:r w:rsidR="00835371" w:rsidRPr="00D22FDF">
        <w:t xml:space="preserve"> interpret</w:t>
      </w:r>
      <w:r w:rsidR="00997524">
        <w:t>i</w:t>
      </w:r>
      <w:r w:rsidR="0083518D">
        <w:t>ng</w:t>
      </w:r>
      <w:r w:rsidR="00835371" w:rsidRPr="00D22FDF">
        <w:t xml:space="preserve"> th</w:t>
      </w:r>
      <w:r w:rsidR="00997524">
        <w:t>o</w:t>
      </w:r>
      <w:r w:rsidR="00835371" w:rsidRPr="00D22FDF">
        <w:t xml:space="preserve">se values </w:t>
      </w:r>
      <w:r w:rsidR="00997524">
        <w:t xml:space="preserve">in order </w:t>
      </w:r>
      <w:r w:rsidR="00835371" w:rsidRPr="00D22FDF">
        <w:t>to achiev</w:t>
      </w:r>
      <w:r>
        <w:t>e</w:t>
      </w:r>
      <w:r w:rsidR="00835371" w:rsidRPr="00D22FDF">
        <w:t xml:space="preserve"> a better </w:t>
      </w:r>
      <w:r>
        <w:t xml:space="preserve">energy </w:t>
      </w:r>
      <w:r w:rsidR="00835371" w:rsidRPr="00D22FDF">
        <w:t xml:space="preserve">labelling classification or to </w:t>
      </w:r>
      <w:r w:rsidR="00317A8A">
        <w:t>suggest</w:t>
      </w:r>
      <w:r w:rsidR="00317A8A" w:rsidRPr="00D22FDF">
        <w:t xml:space="preserve"> </w:t>
      </w:r>
      <w:r w:rsidR="00835371" w:rsidRPr="00D22FDF">
        <w:t>better performance</w:t>
      </w:r>
      <w:r w:rsidR="00B62380">
        <w:t xml:space="preserve"> than</w:t>
      </w:r>
      <w:r w:rsidR="00317A8A">
        <w:t xml:space="preserve"> has actually been measured</w:t>
      </w:r>
      <w:r w:rsidR="000D0A07">
        <w:t xml:space="preserve"> and calculated</w:t>
      </w:r>
      <w:r w:rsidR="00835371" w:rsidRPr="00D22FDF">
        <w:t>. The parameters declared or published by the supplier should not be more favourable for the supplier than the values contained in the technical documentation.</w:t>
      </w:r>
    </w:p>
    <w:p w:rsidR="00835371" w:rsidRPr="00D22FDF" w:rsidRDefault="0083518D" w:rsidP="00E8274E">
      <w:pPr>
        <w:pStyle w:val="Considrant"/>
        <w:numPr>
          <w:ilvl w:val="0"/>
          <w:numId w:val="1"/>
        </w:numPr>
      </w:pPr>
      <w:r w:rsidRPr="00D22FDF">
        <w:t xml:space="preserve">To ensure fair competition, </w:t>
      </w:r>
      <w:r>
        <w:t xml:space="preserve">to realise </w:t>
      </w:r>
      <w:r w:rsidRPr="00D22FDF">
        <w:t xml:space="preserve">the energy savings </w:t>
      </w:r>
      <w:r>
        <w:t xml:space="preserve">that the Regulations were designed to achieve, </w:t>
      </w:r>
      <w:r w:rsidRPr="00D22FDF">
        <w:t xml:space="preserve">and </w:t>
      </w:r>
      <w:r>
        <w:t xml:space="preserve">to provide consumers with </w:t>
      </w:r>
      <w:r w:rsidRPr="00D22FDF">
        <w:t xml:space="preserve">accurate information about the energy efficiency and functional performance of products, it should be </w:t>
      </w:r>
      <w:r>
        <w:t>clarified</w:t>
      </w:r>
      <w:r w:rsidRPr="00D22FDF">
        <w:t xml:space="preserve"> that the verification tolerances set </w:t>
      </w:r>
      <w:r>
        <w:t xml:space="preserve">out </w:t>
      </w:r>
      <w:r w:rsidRPr="00D22FDF">
        <w:t xml:space="preserve">in the delegated acts </w:t>
      </w:r>
      <w:r>
        <w:t>may</w:t>
      </w:r>
      <w:r w:rsidRPr="00D22FDF">
        <w:t xml:space="preserve"> </w:t>
      </w:r>
      <w:r>
        <w:t xml:space="preserve">only </w:t>
      </w:r>
      <w:r w:rsidRPr="00D22FDF">
        <w:t>be used by Member State authorities</w:t>
      </w:r>
      <w:r>
        <w:t>,</w:t>
      </w:r>
      <w:r w:rsidRPr="00D22FDF">
        <w:t xml:space="preserve"> for </w:t>
      </w:r>
      <w:r>
        <w:t>the purpose of verifying compliance.</w:t>
      </w:r>
    </w:p>
    <w:p w:rsidR="00835371" w:rsidRPr="00706691" w:rsidRDefault="00835371" w:rsidP="00E8274E">
      <w:pPr>
        <w:pStyle w:val="Considrant"/>
        <w:numPr>
          <w:ilvl w:val="0"/>
          <w:numId w:val="1"/>
        </w:numPr>
        <w:rPr>
          <w:lang w:val="pt-PT"/>
        </w:rPr>
      </w:pPr>
      <w:r w:rsidRPr="00706691">
        <w:rPr>
          <w:lang w:val="pt-PT"/>
        </w:rPr>
        <w:lastRenderedPageBreak/>
        <w:t>Commission Delegated Regulations (EU) N</w:t>
      </w:r>
      <w:r w:rsidR="006216FC" w:rsidRPr="00706691">
        <w:rPr>
          <w:lang w:val="pt-PT"/>
        </w:rPr>
        <w:t>o </w:t>
      </w:r>
      <w:r w:rsidRPr="00706691">
        <w:rPr>
          <w:lang w:val="pt-PT"/>
        </w:rPr>
        <w:t>1059/2010</w:t>
      </w:r>
      <w:r w:rsidRPr="00D22FDF">
        <w:rPr>
          <w:rStyle w:val="Fotnotereferanse"/>
        </w:rPr>
        <w:footnoteReference w:id="2"/>
      </w:r>
      <w:r w:rsidRPr="00706691">
        <w:rPr>
          <w:lang w:val="pt-PT"/>
        </w:rPr>
        <w:t>, (EU) N</w:t>
      </w:r>
      <w:r w:rsidR="006216FC" w:rsidRPr="00706691">
        <w:rPr>
          <w:lang w:val="pt-PT"/>
        </w:rPr>
        <w:t>o </w:t>
      </w:r>
      <w:r w:rsidRPr="00706691">
        <w:rPr>
          <w:lang w:val="pt-PT"/>
        </w:rPr>
        <w:t>1060/2010</w:t>
      </w:r>
      <w:r w:rsidRPr="00D22FDF">
        <w:rPr>
          <w:rStyle w:val="Fotnotereferanse"/>
        </w:rPr>
        <w:footnoteReference w:id="3"/>
      </w:r>
      <w:r w:rsidRPr="00706691">
        <w:rPr>
          <w:lang w:val="pt-PT"/>
        </w:rPr>
        <w:t>, (EU) N</w:t>
      </w:r>
      <w:r w:rsidR="006216FC" w:rsidRPr="00706691">
        <w:rPr>
          <w:lang w:val="pt-PT"/>
        </w:rPr>
        <w:t>o </w:t>
      </w:r>
      <w:r w:rsidRPr="00706691">
        <w:rPr>
          <w:lang w:val="pt-PT"/>
        </w:rPr>
        <w:t>1061/2010</w:t>
      </w:r>
      <w:r w:rsidRPr="00D22FDF">
        <w:rPr>
          <w:rStyle w:val="Fotnotereferanse"/>
        </w:rPr>
        <w:footnoteReference w:id="4"/>
      </w:r>
      <w:r w:rsidRPr="00706691">
        <w:rPr>
          <w:lang w:val="pt-PT"/>
        </w:rPr>
        <w:t>, (EU) N</w:t>
      </w:r>
      <w:r w:rsidR="006216FC" w:rsidRPr="00706691">
        <w:rPr>
          <w:lang w:val="pt-PT"/>
        </w:rPr>
        <w:t>o </w:t>
      </w:r>
      <w:r w:rsidRPr="00706691">
        <w:rPr>
          <w:lang w:val="pt-PT"/>
        </w:rPr>
        <w:t>1062/2010</w:t>
      </w:r>
      <w:r w:rsidRPr="00D22FDF">
        <w:rPr>
          <w:rStyle w:val="Fotnotereferanse"/>
        </w:rPr>
        <w:footnoteReference w:id="5"/>
      </w:r>
      <w:r w:rsidRPr="00706691">
        <w:rPr>
          <w:lang w:val="pt-PT"/>
        </w:rPr>
        <w:t>, (EU) N</w:t>
      </w:r>
      <w:r w:rsidR="006216FC" w:rsidRPr="00706691">
        <w:rPr>
          <w:lang w:val="pt-PT"/>
        </w:rPr>
        <w:t>o </w:t>
      </w:r>
      <w:r w:rsidRPr="00706691">
        <w:rPr>
          <w:lang w:val="pt-PT"/>
        </w:rPr>
        <w:t>626/2011</w:t>
      </w:r>
      <w:r w:rsidRPr="00D22FDF">
        <w:rPr>
          <w:rStyle w:val="Fotnotereferanse"/>
        </w:rPr>
        <w:footnoteReference w:id="6"/>
      </w:r>
      <w:r w:rsidRPr="00706691">
        <w:rPr>
          <w:lang w:val="pt-PT"/>
        </w:rPr>
        <w:t>, (EU) N</w:t>
      </w:r>
      <w:r w:rsidR="006216FC" w:rsidRPr="00706691">
        <w:rPr>
          <w:lang w:val="pt-PT"/>
        </w:rPr>
        <w:t>o </w:t>
      </w:r>
      <w:r w:rsidRPr="00706691">
        <w:rPr>
          <w:lang w:val="pt-PT"/>
        </w:rPr>
        <w:t>392/2012</w:t>
      </w:r>
      <w:r w:rsidRPr="00D22FDF">
        <w:rPr>
          <w:rStyle w:val="Fotnotereferanse"/>
        </w:rPr>
        <w:footnoteReference w:id="7"/>
      </w:r>
      <w:r w:rsidRPr="00706691">
        <w:rPr>
          <w:lang w:val="pt-PT"/>
        </w:rPr>
        <w:t>, (EU) N</w:t>
      </w:r>
      <w:r w:rsidR="006216FC" w:rsidRPr="00706691">
        <w:rPr>
          <w:lang w:val="pt-PT"/>
        </w:rPr>
        <w:t>o </w:t>
      </w:r>
      <w:r w:rsidRPr="00706691">
        <w:rPr>
          <w:lang w:val="pt-PT"/>
        </w:rPr>
        <w:t>874/2012</w:t>
      </w:r>
      <w:r w:rsidRPr="00D22FDF">
        <w:rPr>
          <w:rStyle w:val="Fotnotereferanse"/>
        </w:rPr>
        <w:footnoteReference w:id="8"/>
      </w:r>
      <w:r w:rsidRPr="00706691">
        <w:rPr>
          <w:lang w:val="pt-PT"/>
        </w:rPr>
        <w:t>, (EU) N</w:t>
      </w:r>
      <w:r w:rsidR="006216FC" w:rsidRPr="00706691">
        <w:rPr>
          <w:lang w:val="pt-PT"/>
        </w:rPr>
        <w:t>o </w:t>
      </w:r>
      <w:r w:rsidRPr="00706691">
        <w:rPr>
          <w:lang w:val="pt-PT"/>
        </w:rPr>
        <w:t>665/2013</w:t>
      </w:r>
      <w:r w:rsidRPr="00D22FDF">
        <w:rPr>
          <w:rStyle w:val="Fotnotereferanse"/>
        </w:rPr>
        <w:footnoteReference w:id="9"/>
      </w:r>
      <w:r w:rsidRPr="00706691">
        <w:rPr>
          <w:lang w:val="pt-PT"/>
        </w:rPr>
        <w:t>, (EU) N</w:t>
      </w:r>
      <w:r w:rsidR="006216FC" w:rsidRPr="00706691">
        <w:rPr>
          <w:lang w:val="pt-PT"/>
        </w:rPr>
        <w:t>o </w:t>
      </w:r>
      <w:r w:rsidRPr="00706691">
        <w:rPr>
          <w:lang w:val="pt-PT"/>
        </w:rPr>
        <w:t>811/2013</w:t>
      </w:r>
      <w:r w:rsidRPr="00D22FDF">
        <w:rPr>
          <w:rStyle w:val="Fotnotereferanse"/>
        </w:rPr>
        <w:footnoteReference w:id="10"/>
      </w:r>
      <w:r w:rsidRPr="00706691">
        <w:rPr>
          <w:lang w:val="pt-PT"/>
        </w:rPr>
        <w:t>, (EU) N</w:t>
      </w:r>
      <w:r w:rsidR="006216FC" w:rsidRPr="00706691">
        <w:rPr>
          <w:lang w:val="pt-PT"/>
        </w:rPr>
        <w:t>o </w:t>
      </w:r>
      <w:r w:rsidRPr="00706691">
        <w:rPr>
          <w:lang w:val="pt-PT"/>
        </w:rPr>
        <w:t>812/2013</w:t>
      </w:r>
      <w:r w:rsidRPr="00D22FDF">
        <w:rPr>
          <w:rStyle w:val="Fotnotereferanse"/>
        </w:rPr>
        <w:footnoteReference w:id="11"/>
      </w:r>
      <w:r w:rsidRPr="00706691">
        <w:rPr>
          <w:lang w:val="pt-PT"/>
        </w:rPr>
        <w:t>, (EU) N</w:t>
      </w:r>
      <w:r w:rsidR="006216FC" w:rsidRPr="00706691">
        <w:rPr>
          <w:lang w:val="pt-PT"/>
        </w:rPr>
        <w:t>o </w:t>
      </w:r>
      <w:r w:rsidRPr="00706691">
        <w:rPr>
          <w:lang w:val="pt-PT"/>
        </w:rPr>
        <w:t>65/2014</w:t>
      </w:r>
      <w:r w:rsidRPr="00D22FDF">
        <w:rPr>
          <w:rStyle w:val="Fotnotereferanse"/>
        </w:rPr>
        <w:footnoteReference w:id="12"/>
      </w:r>
      <w:r w:rsidRPr="00706691">
        <w:rPr>
          <w:lang w:val="pt-PT"/>
        </w:rPr>
        <w:t xml:space="preserve">, (EU) </w:t>
      </w:r>
      <w:r w:rsidR="006216FC" w:rsidRPr="00706691">
        <w:rPr>
          <w:lang w:val="pt-PT"/>
        </w:rPr>
        <w:t>No </w:t>
      </w:r>
      <w:r w:rsidRPr="00706691">
        <w:rPr>
          <w:lang w:val="pt-PT"/>
        </w:rPr>
        <w:t>1254/2014</w:t>
      </w:r>
      <w:r w:rsidRPr="00D22FDF">
        <w:rPr>
          <w:rStyle w:val="Fotnotereferanse"/>
        </w:rPr>
        <w:footnoteReference w:id="13"/>
      </w:r>
      <w:r w:rsidR="00C845FD">
        <w:rPr>
          <w:lang w:val="pt-PT"/>
        </w:rPr>
        <w:t>, (EU)</w:t>
      </w:r>
      <w:r w:rsidR="006216FC" w:rsidRPr="00706691">
        <w:rPr>
          <w:lang w:val="pt-PT"/>
        </w:rPr>
        <w:t> </w:t>
      </w:r>
      <w:r w:rsidRPr="00706691">
        <w:rPr>
          <w:lang w:val="pt-PT"/>
        </w:rPr>
        <w:t>2015/1094</w:t>
      </w:r>
      <w:r w:rsidRPr="00D22FDF">
        <w:rPr>
          <w:rStyle w:val="Fotnotereferanse"/>
        </w:rPr>
        <w:footnoteReference w:id="14"/>
      </w:r>
      <w:r w:rsidR="00C845FD">
        <w:rPr>
          <w:lang w:val="pt-PT"/>
        </w:rPr>
        <w:t>, (EU)</w:t>
      </w:r>
      <w:r w:rsidR="006216FC" w:rsidRPr="00706691">
        <w:rPr>
          <w:lang w:val="pt-PT"/>
        </w:rPr>
        <w:t> </w:t>
      </w:r>
      <w:r w:rsidRPr="00706691">
        <w:rPr>
          <w:lang w:val="pt-PT"/>
        </w:rPr>
        <w:t>2015/1186</w:t>
      </w:r>
      <w:r w:rsidRPr="00D22FDF">
        <w:rPr>
          <w:rStyle w:val="Fotnotereferanse"/>
        </w:rPr>
        <w:footnoteReference w:id="15"/>
      </w:r>
      <w:r w:rsidR="006216FC" w:rsidRPr="00706691">
        <w:rPr>
          <w:lang w:val="pt-PT"/>
        </w:rPr>
        <w:t xml:space="preserve"> and</w:t>
      </w:r>
      <w:r w:rsidRPr="00706691">
        <w:rPr>
          <w:lang w:val="pt-PT"/>
        </w:rPr>
        <w:t xml:space="preserve"> (EU)</w:t>
      </w:r>
      <w:r w:rsidR="006216FC" w:rsidRPr="00706691">
        <w:rPr>
          <w:lang w:val="pt-PT"/>
        </w:rPr>
        <w:t> </w:t>
      </w:r>
      <w:r w:rsidRPr="00706691">
        <w:rPr>
          <w:lang w:val="pt-PT"/>
        </w:rPr>
        <w:t>2015/1187</w:t>
      </w:r>
      <w:r w:rsidRPr="00D22FDF">
        <w:rPr>
          <w:rStyle w:val="Fotnotereferanse"/>
        </w:rPr>
        <w:footnoteReference w:id="16"/>
      </w:r>
      <w:r w:rsidRPr="00706691">
        <w:rPr>
          <w:lang w:val="pt-PT"/>
        </w:rPr>
        <w:t xml:space="preserve"> should therefore be amended accordingly,</w:t>
      </w:r>
    </w:p>
    <w:p w:rsidR="0003758F" w:rsidRPr="00D22FDF" w:rsidRDefault="0003758F" w:rsidP="009343DF">
      <w:pPr>
        <w:pStyle w:val="Formuledadoption"/>
      </w:pPr>
      <w:r w:rsidRPr="00D22FDF">
        <w:lastRenderedPageBreak/>
        <w:t>HAS ADOPTED THIS REGULATION:</w:t>
      </w:r>
    </w:p>
    <w:p w:rsidR="0003758F" w:rsidRPr="00D22FDF" w:rsidRDefault="0003758F" w:rsidP="0003758F">
      <w:pPr>
        <w:pStyle w:val="Titrearticle"/>
        <w:rPr>
          <w:b/>
          <w:i w:val="0"/>
        </w:rPr>
      </w:pPr>
      <w:r w:rsidRPr="00D22FDF">
        <w:t>Article 1</w:t>
      </w:r>
      <w:r w:rsidRPr="00D22FDF">
        <w:br/>
      </w:r>
      <w:r w:rsidRPr="00D22FDF">
        <w:rPr>
          <w:b/>
          <w:i w:val="0"/>
        </w:rPr>
        <w:t>Amendments to Delegated Regulation (EU) N</w:t>
      </w:r>
      <w:r w:rsidR="00F70191">
        <w:rPr>
          <w:b/>
          <w:i w:val="0"/>
        </w:rPr>
        <w:t>o </w:t>
      </w:r>
      <w:r w:rsidRPr="00D22FDF">
        <w:rPr>
          <w:b/>
          <w:i w:val="0"/>
        </w:rPr>
        <w:t>1059/2010</w:t>
      </w:r>
    </w:p>
    <w:p w:rsidR="0003758F" w:rsidRPr="00D22FDF" w:rsidRDefault="0003758F" w:rsidP="0003758F">
      <w:r w:rsidRPr="00D22FDF">
        <w:t>Annex V to Delegated Regulation (EU) N</w:t>
      </w:r>
      <w:r w:rsidR="00F70191">
        <w:t>o </w:t>
      </w:r>
      <w:r w:rsidRPr="00D22FDF">
        <w:t>1059/2010 is amended in accordance with Annex</w:t>
      </w:r>
      <w:r w:rsidR="00F70191">
        <w:t> </w:t>
      </w:r>
      <w:r w:rsidRPr="00D22FDF">
        <w:t xml:space="preserve">I to this </w:t>
      </w:r>
      <w:r w:rsidR="00997524">
        <w:t xml:space="preserve">Delegated </w:t>
      </w:r>
      <w:r w:rsidRPr="00D22FDF">
        <w:t>Regulation.</w:t>
      </w:r>
    </w:p>
    <w:p w:rsidR="0003758F" w:rsidRPr="00D22FDF" w:rsidRDefault="0003758F" w:rsidP="0003758F">
      <w:pPr>
        <w:pStyle w:val="Titrearticle"/>
        <w:rPr>
          <w:b/>
          <w:i w:val="0"/>
        </w:rPr>
      </w:pPr>
      <w:r w:rsidRPr="00D22FDF">
        <w:t>Article 2</w:t>
      </w:r>
      <w:r w:rsidRPr="00D22FDF">
        <w:br/>
      </w:r>
      <w:r w:rsidRPr="00D22FDF">
        <w:rPr>
          <w:b/>
          <w:i w:val="0"/>
        </w:rPr>
        <w:t>Amendments to Delegated Regulation (EU) N</w:t>
      </w:r>
      <w:r w:rsidR="00F70191">
        <w:rPr>
          <w:b/>
          <w:i w:val="0"/>
        </w:rPr>
        <w:t>o </w:t>
      </w:r>
      <w:r w:rsidRPr="00D22FDF">
        <w:rPr>
          <w:b/>
          <w:i w:val="0"/>
        </w:rPr>
        <w:t>1060/2010</w:t>
      </w:r>
    </w:p>
    <w:p w:rsidR="0003758F" w:rsidRPr="00D22FDF" w:rsidRDefault="0003758F" w:rsidP="0003758F">
      <w:r w:rsidRPr="00D22FDF">
        <w:t>Annex VII to Delegated Regulation (EU) N</w:t>
      </w:r>
      <w:r w:rsidR="00F70191">
        <w:t>o </w:t>
      </w:r>
      <w:r w:rsidRPr="00D22FDF">
        <w:t>1060/2010 is amended in accordance with Annex</w:t>
      </w:r>
      <w:r w:rsidR="00F70191">
        <w:t> </w:t>
      </w:r>
      <w:r w:rsidRPr="00D22FDF">
        <w:t xml:space="preserve">II to this </w:t>
      </w:r>
      <w:r w:rsidR="00997524">
        <w:t xml:space="preserve">Delegated </w:t>
      </w:r>
      <w:r w:rsidRPr="00D22FDF">
        <w:t>Regulation.</w:t>
      </w:r>
    </w:p>
    <w:p w:rsidR="0003758F" w:rsidRPr="00D22FDF" w:rsidRDefault="0003758F" w:rsidP="0003758F">
      <w:pPr>
        <w:pStyle w:val="Titrearticle"/>
        <w:rPr>
          <w:b/>
          <w:i w:val="0"/>
        </w:rPr>
      </w:pPr>
      <w:r w:rsidRPr="00D22FDF">
        <w:t>Article 3</w:t>
      </w:r>
      <w:r w:rsidRPr="00D22FDF">
        <w:br/>
      </w:r>
      <w:r w:rsidRPr="00D22FDF">
        <w:rPr>
          <w:b/>
          <w:i w:val="0"/>
        </w:rPr>
        <w:t>Amendments to Delegated Regulation (EU) N</w:t>
      </w:r>
      <w:r w:rsidR="00F70191">
        <w:rPr>
          <w:b/>
          <w:i w:val="0"/>
        </w:rPr>
        <w:t>o </w:t>
      </w:r>
      <w:r w:rsidRPr="00D22FDF">
        <w:rPr>
          <w:b/>
          <w:i w:val="0"/>
        </w:rPr>
        <w:t>1061/2010</w:t>
      </w:r>
    </w:p>
    <w:p w:rsidR="0003758F" w:rsidRPr="00D22FDF" w:rsidRDefault="0003758F" w:rsidP="0003758F">
      <w:r w:rsidRPr="00D22FDF">
        <w:t>Annex V to Delegated Regulation (EU) N</w:t>
      </w:r>
      <w:r w:rsidR="00F70191">
        <w:t>o </w:t>
      </w:r>
      <w:r w:rsidRPr="00D22FDF">
        <w:t>1061/2010 is amended in accordance with Annex</w:t>
      </w:r>
      <w:r w:rsidR="00F70191">
        <w:t> </w:t>
      </w:r>
      <w:r w:rsidRPr="00D22FDF">
        <w:t xml:space="preserve">III to this </w:t>
      </w:r>
      <w:r w:rsidR="00997524">
        <w:t xml:space="preserve">Delegated </w:t>
      </w:r>
      <w:r w:rsidRPr="00D22FDF">
        <w:t>Regulation.</w:t>
      </w:r>
    </w:p>
    <w:p w:rsidR="0003758F" w:rsidRDefault="0003758F" w:rsidP="0003758F">
      <w:pPr>
        <w:pStyle w:val="Titrearticle"/>
        <w:rPr>
          <w:b/>
          <w:i w:val="0"/>
        </w:rPr>
      </w:pPr>
      <w:r w:rsidRPr="00D22FDF">
        <w:t>Article 4</w:t>
      </w:r>
      <w:r w:rsidRPr="00D22FDF">
        <w:br/>
      </w:r>
      <w:r w:rsidRPr="00D22FDF">
        <w:rPr>
          <w:b/>
          <w:i w:val="0"/>
        </w:rPr>
        <w:t>Amendments to Delegated Regulation (EU) N</w:t>
      </w:r>
      <w:r w:rsidR="00F70191">
        <w:rPr>
          <w:b/>
          <w:i w:val="0"/>
        </w:rPr>
        <w:t>o </w:t>
      </w:r>
      <w:r w:rsidRPr="00D22FDF">
        <w:rPr>
          <w:b/>
          <w:i w:val="0"/>
        </w:rPr>
        <w:t>1062/2010</w:t>
      </w:r>
    </w:p>
    <w:p w:rsidR="0003758F" w:rsidRPr="00D22FDF" w:rsidRDefault="00997524" w:rsidP="001162A7">
      <w:r w:rsidRPr="001162A7">
        <w:t xml:space="preserve">Annexes VII and VIII to Delegated Regulation (EU) No 1062/2010 are </w:t>
      </w:r>
      <w:r w:rsidR="0003758F" w:rsidRPr="00D22FDF">
        <w:t xml:space="preserve">amended in accordance with Annex IV to this </w:t>
      </w:r>
      <w:r>
        <w:t xml:space="preserve">Delegated </w:t>
      </w:r>
      <w:r w:rsidR="0003758F" w:rsidRPr="00D22FDF">
        <w:t>Regulation.</w:t>
      </w:r>
    </w:p>
    <w:p w:rsidR="0003758F" w:rsidRPr="00D22FDF" w:rsidRDefault="0003758F" w:rsidP="0003758F">
      <w:pPr>
        <w:pStyle w:val="Titrearticle"/>
        <w:rPr>
          <w:b/>
          <w:i w:val="0"/>
        </w:rPr>
      </w:pPr>
      <w:r w:rsidRPr="00D22FDF">
        <w:t>Article 5</w:t>
      </w:r>
      <w:r w:rsidRPr="00D22FDF">
        <w:br/>
      </w:r>
      <w:r w:rsidRPr="00D22FDF">
        <w:rPr>
          <w:b/>
          <w:i w:val="0"/>
        </w:rPr>
        <w:t>Amendments to Delegated Regulation (EU) N</w:t>
      </w:r>
      <w:r w:rsidR="00F70191">
        <w:rPr>
          <w:b/>
          <w:i w:val="0"/>
        </w:rPr>
        <w:t>o </w:t>
      </w:r>
      <w:r w:rsidRPr="00D22FDF">
        <w:rPr>
          <w:b/>
          <w:i w:val="0"/>
        </w:rPr>
        <w:t>626/2011</w:t>
      </w:r>
    </w:p>
    <w:p w:rsidR="0003758F" w:rsidRPr="00D22FDF" w:rsidRDefault="0003758F" w:rsidP="0003758F">
      <w:r w:rsidRPr="00D22FDF">
        <w:t>Annex VIII to Delegated Regulation (EU) N</w:t>
      </w:r>
      <w:r w:rsidR="00F70191">
        <w:t>o </w:t>
      </w:r>
      <w:r w:rsidRPr="00D22FDF">
        <w:t>626/2011 is amended in accordance with Annex</w:t>
      </w:r>
      <w:r w:rsidR="00F70191">
        <w:t> </w:t>
      </w:r>
      <w:r w:rsidRPr="00D22FDF">
        <w:t xml:space="preserve">V to this </w:t>
      </w:r>
      <w:r w:rsidR="00997524">
        <w:t xml:space="preserve">Delegated </w:t>
      </w:r>
      <w:r w:rsidRPr="00D22FDF">
        <w:t>Regulation.</w:t>
      </w:r>
    </w:p>
    <w:p w:rsidR="0003758F" w:rsidRPr="00D22FDF" w:rsidRDefault="0003758F" w:rsidP="0003758F">
      <w:pPr>
        <w:pStyle w:val="Titrearticle"/>
        <w:rPr>
          <w:b/>
          <w:i w:val="0"/>
        </w:rPr>
      </w:pPr>
      <w:r w:rsidRPr="00D22FDF">
        <w:t>Article 6</w:t>
      </w:r>
      <w:r w:rsidRPr="00D22FDF">
        <w:br/>
      </w:r>
      <w:r w:rsidRPr="00D22FDF">
        <w:rPr>
          <w:b/>
          <w:i w:val="0"/>
        </w:rPr>
        <w:t>Amendments to Delegated Regulation (EU) N</w:t>
      </w:r>
      <w:r w:rsidR="00F70191">
        <w:rPr>
          <w:b/>
          <w:i w:val="0"/>
        </w:rPr>
        <w:t>o </w:t>
      </w:r>
      <w:r w:rsidRPr="00D22FDF">
        <w:rPr>
          <w:b/>
          <w:i w:val="0"/>
        </w:rPr>
        <w:t>392/2012</w:t>
      </w:r>
    </w:p>
    <w:p w:rsidR="0003758F" w:rsidRPr="00D22FDF" w:rsidRDefault="0003758F" w:rsidP="0003758F">
      <w:r w:rsidRPr="00D22FDF">
        <w:t>Annex V to Delegated Regulation (EU) N</w:t>
      </w:r>
      <w:r w:rsidR="00F70191">
        <w:t>o </w:t>
      </w:r>
      <w:r w:rsidRPr="00D22FDF">
        <w:t>392/2012 is amended in accordance with Annex</w:t>
      </w:r>
      <w:r w:rsidR="00F70191">
        <w:t> </w:t>
      </w:r>
      <w:r w:rsidRPr="00D22FDF">
        <w:t xml:space="preserve">VI to this </w:t>
      </w:r>
      <w:r w:rsidR="00997524">
        <w:t xml:space="preserve">Delegated </w:t>
      </w:r>
      <w:r w:rsidRPr="00D22FDF">
        <w:t>Regulation.</w:t>
      </w:r>
    </w:p>
    <w:p w:rsidR="0003758F" w:rsidRPr="00D22FDF" w:rsidRDefault="0003758F" w:rsidP="0003758F">
      <w:pPr>
        <w:pStyle w:val="Titrearticle"/>
        <w:rPr>
          <w:b/>
          <w:i w:val="0"/>
        </w:rPr>
      </w:pPr>
      <w:r w:rsidRPr="00D22FDF">
        <w:t>Article 7</w:t>
      </w:r>
      <w:r w:rsidRPr="00D22FDF">
        <w:br/>
      </w:r>
      <w:r w:rsidRPr="00D22FDF">
        <w:rPr>
          <w:b/>
          <w:i w:val="0"/>
        </w:rPr>
        <w:t>Amendments to Delegated Regulation (EU) N</w:t>
      </w:r>
      <w:r w:rsidR="000115AB">
        <w:rPr>
          <w:b/>
          <w:i w:val="0"/>
        </w:rPr>
        <w:t>o </w:t>
      </w:r>
      <w:r w:rsidRPr="00D22FDF">
        <w:rPr>
          <w:b/>
          <w:i w:val="0"/>
        </w:rPr>
        <w:t>874/2012</w:t>
      </w:r>
    </w:p>
    <w:p w:rsidR="0003758F" w:rsidRPr="00D22FDF" w:rsidRDefault="0003758F" w:rsidP="0003758F">
      <w:r w:rsidRPr="00D22FDF">
        <w:t>Annex V to Delegated Regulation (EU) N</w:t>
      </w:r>
      <w:r w:rsidR="000115AB">
        <w:t>o </w:t>
      </w:r>
      <w:r w:rsidRPr="00D22FDF">
        <w:t>874/2012 is amended in accordance with Annex</w:t>
      </w:r>
      <w:r w:rsidR="000115AB">
        <w:t> </w:t>
      </w:r>
      <w:r w:rsidRPr="00D22FDF">
        <w:t xml:space="preserve">VII to this </w:t>
      </w:r>
      <w:r w:rsidR="00997524">
        <w:t xml:space="preserve">Delegated </w:t>
      </w:r>
      <w:r w:rsidRPr="00D22FDF">
        <w:t>Regulation.</w:t>
      </w:r>
    </w:p>
    <w:p w:rsidR="0003758F" w:rsidRPr="00D22FDF" w:rsidRDefault="0003758F" w:rsidP="0003758F">
      <w:pPr>
        <w:pStyle w:val="Titrearticle"/>
        <w:rPr>
          <w:b/>
          <w:i w:val="0"/>
        </w:rPr>
      </w:pPr>
      <w:r w:rsidRPr="00D22FDF">
        <w:t>Article 8</w:t>
      </w:r>
      <w:r w:rsidRPr="00D22FDF">
        <w:br/>
      </w:r>
      <w:r w:rsidRPr="00D22FDF">
        <w:rPr>
          <w:b/>
          <w:i w:val="0"/>
        </w:rPr>
        <w:t>Amendments to Delegated Regulation (EU) N</w:t>
      </w:r>
      <w:r w:rsidR="000115AB">
        <w:rPr>
          <w:b/>
          <w:i w:val="0"/>
        </w:rPr>
        <w:t>o </w:t>
      </w:r>
      <w:r w:rsidRPr="00D22FDF">
        <w:rPr>
          <w:b/>
          <w:i w:val="0"/>
        </w:rPr>
        <w:t>665/2013</w:t>
      </w:r>
    </w:p>
    <w:p w:rsidR="0003758F" w:rsidRPr="00D22FDF" w:rsidRDefault="0003758F" w:rsidP="0003758F">
      <w:r w:rsidRPr="00D22FDF">
        <w:t>Annex VII to Delegated Regulation (EU) N</w:t>
      </w:r>
      <w:r w:rsidR="000115AB">
        <w:t>o </w:t>
      </w:r>
      <w:r w:rsidRPr="00D22FDF">
        <w:t>665/2013 is amended in accordance with Annex</w:t>
      </w:r>
      <w:r w:rsidR="000115AB">
        <w:t> </w:t>
      </w:r>
      <w:r w:rsidRPr="00D22FDF">
        <w:t xml:space="preserve">VIII to this </w:t>
      </w:r>
      <w:r w:rsidR="00997524">
        <w:t xml:space="preserve">Delegated </w:t>
      </w:r>
      <w:r w:rsidRPr="00D22FDF">
        <w:t>Regulation.</w:t>
      </w:r>
    </w:p>
    <w:p w:rsidR="0003758F" w:rsidRPr="00D22FDF" w:rsidRDefault="0003758F" w:rsidP="0003758F">
      <w:pPr>
        <w:pStyle w:val="Titrearticle"/>
        <w:rPr>
          <w:b/>
          <w:i w:val="0"/>
        </w:rPr>
      </w:pPr>
      <w:r w:rsidRPr="00D22FDF">
        <w:lastRenderedPageBreak/>
        <w:t>Article 9</w:t>
      </w:r>
      <w:r w:rsidRPr="00D22FDF">
        <w:br/>
      </w:r>
      <w:r w:rsidRPr="00D22FDF">
        <w:rPr>
          <w:b/>
          <w:i w:val="0"/>
        </w:rPr>
        <w:t>Amendments to Delegated Regulation (EU) N</w:t>
      </w:r>
      <w:r w:rsidR="000115AB">
        <w:rPr>
          <w:b/>
          <w:i w:val="0"/>
        </w:rPr>
        <w:t>o </w:t>
      </w:r>
      <w:r w:rsidRPr="00D22FDF">
        <w:rPr>
          <w:b/>
          <w:i w:val="0"/>
        </w:rPr>
        <w:t>811/2013</w:t>
      </w:r>
    </w:p>
    <w:p w:rsidR="0003758F" w:rsidRPr="00D22FDF" w:rsidRDefault="0003758F" w:rsidP="0003758F">
      <w:r w:rsidRPr="00D22FDF">
        <w:t>Annex VIII to Delegated Regulation (EU) N</w:t>
      </w:r>
      <w:r w:rsidR="000115AB">
        <w:t>o </w:t>
      </w:r>
      <w:r w:rsidRPr="00D22FDF">
        <w:t>811/2013 is amended in accordance with Annex</w:t>
      </w:r>
      <w:r w:rsidR="000115AB">
        <w:t> </w:t>
      </w:r>
      <w:r w:rsidRPr="00D22FDF">
        <w:t xml:space="preserve">IX to this </w:t>
      </w:r>
      <w:r w:rsidR="00997524">
        <w:t xml:space="preserve">Delegated </w:t>
      </w:r>
      <w:r w:rsidRPr="00D22FDF">
        <w:t>Regulation.</w:t>
      </w:r>
    </w:p>
    <w:p w:rsidR="0003758F" w:rsidRPr="00D22FDF" w:rsidRDefault="0003758F" w:rsidP="0003758F">
      <w:pPr>
        <w:pStyle w:val="Titrearticle"/>
        <w:rPr>
          <w:b/>
          <w:i w:val="0"/>
        </w:rPr>
      </w:pPr>
      <w:r w:rsidRPr="00D22FDF">
        <w:t>Article 10</w:t>
      </w:r>
      <w:r w:rsidRPr="00D22FDF">
        <w:br/>
      </w:r>
      <w:r w:rsidRPr="00D22FDF">
        <w:rPr>
          <w:b/>
          <w:i w:val="0"/>
        </w:rPr>
        <w:t>Amendments to Delegated Regulation (EU) N</w:t>
      </w:r>
      <w:r w:rsidR="000115AB">
        <w:rPr>
          <w:b/>
          <w:i w:val="0"/>
        </w:rPr>
        <w:t>o </w:t>
      </w:r>
      <w:r w:rsidRPr="00D22FDF">
        <w:rPr>
          <w:b/>
          <w:i w:val="0"/>
        </w:rPr>
        <w:t>812/2013</w:t>
      </w:r>
    </w:p>
    <w:p w:rsidR="0003758F" w:rsidRPr="00D22FDF" w:rsidRDefault="0003758F" w:rsidP="0003758F">
      <w:r w:rsidRPr="00D22FDF">
        <w:t>Annex IX to Delegated Regulation (EU) N</w:t>
      </w:r>
      <w:r w:rsidR="000115AB">
        <w:t>o </w:t>
      </w:r>
      <w:r w:rsidRPr="00D22FDF">
        <w:t>812/2013 is amended in accordance with Annex</w:t>
      </w:r>
      <w:r w:rsidR="000115AB">
        <w:t> </w:t>
      </w:r>
      <w:r w:rsidRPr="00D22FDF">
        <w:t xml:space="preserve">X to this </w:t>
      </w:r>
      <w:r w:rsidR="00997524">
        <w:t xml:space="preserve">Delegated </w:t>
      </w:r>
      <w:r w:rsidRPr="00D22FDF">
        <w:t>Regulation.</w:t>
      </w:r>
    </w:p>
    <w:p w:rsidR="0003758F" w:rsidRPr="00D22FDF" w:rsidRDefault="0003758F" w:rsidP="0003758F">
      <w:pPr>
        <w:pStyle w:val="Titrearticle"/>
        <w:rPr>
          <w:b/>
          <w:i w:val="0"/>
        </w:rPr>
      </w:pPr>
      <w:r w:rsidRPr="00D22FDF">
        <w:t>Article 11</w:t>
      </w:r>
      <w:r w:rsidRPr="00D22FDF">
        <w:br/>
      </w:r>
      <w:r w:rsidRPr="00D22FDF">
        <w:rPr>
          <w:b/>
          <w:i w:val="0"/>
        </w:rPr>
        <w:t>Amendments to Delegated Regulation (EU) N</w:t>
      </w:r>
      <w:r w:rsidR="000115AB">
        <w:rPr>
          <w:b/>
          <w:i w:val="0"/>
        </w:rPr>
        <w:t>o </w:t>
      </w:r>
      <w:r w:rsidRPr="00D22FDF">
        <w:rPr>
          <w:b/>
          <w:i w:val="0"/>
        </w:rPr>
        <w:t>65/2014</w:t>
      </w:r>
    </w:p>
    <w:p w:rsidR="0003758F" w:rsidRPr="00D22FDF" w:rsidRDefault="0003758F" w:rsidP="0003758F">
      <w:r w:rsidRPr="00D22FDF">
        <w:t>Annex VIII to Delegated Regulation (EU) N</w:t>
      </w:r>
      <w:r w:rsidR="000115AB">
        <w:t>o </w:t>
      </w:r>
      <w:r w:rsidRPr="00D22FDF">
        <w:t>65/2014 is amended in accordance with Annex</w:t>
      </w:r>
      <w:r w:rsidR="000115AB">
        <w:t> </w:t>
      </w:r>
      <w:r w:rsidRPr="00D22FDF">
        <w:t xml:space="preserve">XI to this </w:t>
      </w:r>
      <w:r w:rsidR="00997524">
        <w:t xml:space="preserve">Delegated </w:t>
      </w:r>
      <w:r w:rsidRPr="00D22FDF">
        <w:t>Regulation.</w:t>
      </w:r>
    </w:p>
    <w:p w:rsidR="0003758F" w:rsidRPr="00D22FDF" w:rsidRDefault="0003758F" w:rsidP="0003758F">
      <w:pPr>
        <w:pStyle w:val="Titrearticle"/>
        <w:rPr>
          <w:b/>
          <w:i w:val="0"/>
        </w:rPr>
      </w:pPr>
      <w:r w:rsidRPr="00D22FDF">
        <w:t>Article 12</w:t>
      </w:r>
      <w:r w:rsidRPr="00D22FDF">
        <w:br/>
      </w:r>
      <w:r w:rsidRPr="00D22FDF">
        <w:rPr>
          <w:b/>
          <w:i w:val="0"/>
        </w:rPr>
        <w:t>Amendments to Delegated Regulation (EU) N</w:t>
      </w:r>
      <w:r w:rsidR="000115AB">
        <w:rPr>
          <w:b/>
          <w:i w:val="0"/>
        </w:rPr>
        <w:t>o </w:t>
      </w:r>
      <w:r w:rsidRPr="00D22FDF">
        <w:rPr>
          <w:b/>
          <w:i w:val="0"/>
        </w:rPr>
        <w:t>1254/2014</w:t>
      </w:r>
    </w:p>
    <w:p w:rsidR="0003758F" w:rsidRPr="00D22FDF" w:rsidRDefault="0003758F" w:rsidP="0003758F">
      <w:r w:rsidRPr="00D22FDF">
        <w:t>Annex IX to Delegated Regulation (EU) N</w:t>
      </w:r>
      <w:r w:rsidR="000115AB">
        <w:t>o </w:t>
      </w:r>
      <w:r w:rsidRPr="00D22FDF">
        <w:t>1254/2014 is amended in accordance with Annex</w:t>
      </w:r>
      <w:r w:rsidR="000115AB">
        <w:t> </w:t>
      </w:r>
      <w:r w:rsidRPr="00D22FDF">
        <w:t xml:space="preserve">XII to this </w:t>
      </w:r>
      <w:r w:rsidR="00997524">
        <w:t xml:space="preserve">Delegated </w:t>
      </w:r>
      <w:r w:rsidRPr="00D22FDF">
        <w:t>Regulation.</w:t>
      </w:r>
    </w:p>
    <w:p w:rsidR="0003758F" w:rsidRPr="00D22FDF" w:rsidRDefault="0003758F" w:rsidP="0003758F">
      <w:pPr>
        <w:pStyle w:val="Titrearticle"/>
        <w:rPr>
          <w:b/>
          <w:i w:val="0"/>
        </w:rPr>
      </w:pPr>
      <w:r w:rsidRPr="00D22FDF">
        <w:t>Article 13</w:t>
      </w:r>
      <w:r w:rsidRPr="00D22FDF">
        <w:br/>
      </w:r>
      <w:r w:rsidRPr="00D22FDF">
        <w:rPr>
          <w:b/>
          <w:i w:val="0"/>
        </w:rPr>
        <w:t>Amendments to Delegated Regulation (EU) 2015/1094</w:t>
      </w:r>
    </w:p>
    <w:p w:rsidR="0003758F" w:rsidRPr="00D22FDF" w:rsidRDefault="0003758F" w:rsidP="0003758F">
      <w:r w:rsidRPr="00D22FDF">
        <w:t>Annex X to Delegated Regulation (EU) N</w:t>
      </w:r>
      <w:r w:rsidR="000115AB">
        <w:t>o </w:t>
      </w:r>
      <w:r w:rsidRPr="00D22FDF">
        <w:t>2015/1094 is amended in accordance with Annex</w:t>
      </w:r>
      <w:r w:rsidR="000115AB">
        <w:t> </w:t>
      </w:r>
      <w:r w:rsidRPr="00D22FDF">
        <w:t xml:space="preserve">XIII to this </w:t>
      </w:r>
      <w:r w:rsidR="00997524">
        <w:t xml:space="preserve">Delegated </w:t>
      </w:r>
      <w:r w:rsidRPr="00D22FDF">
        <w:t>Regulation.</w:t>
      </w:r>
    </w:p>
    <w:p w:rsidR="0003758F" w:rsidRPr="00D22FDF" w:rsidRDefault="0003758F" w:rsidP="0003758F">
      <w:pPr>
        <w:pStyle w:val="Titrearticle"/>
        <w:rPr>
          <w:b/>
          <w:i w:val="0"/>
        </w:rPr>
      </w:pPr>
      <w:r w:rsidRPr="00D22FDF">
        <w:t>Article 14</w:t>
      </w:r>
      <w:r w:rsidRPr="00D22FDF">
        <w:br/>
      </w:r>
      <w:r w:rsidRPr="00D22FDF">
        <w:rPr>
          <w:b/>
          <w:i w:val="0"/>
        </w:rPr>
        <w:t>Amendments to Delegated Regulation (EU) 2015/1186</w:t>
      </w:r>
    </w:p>
    <w:p w:rsidR="0003758F" w:rsidRPr="00D22FDF" w:rsidRDefault="0003758F" w:rsidP="0003758F">
      <w:r w:rsidRPr="00D22FDF">
        <w:t>Annex IX to Delegated Regulation (EU) N</w:t>
      </w:r>
      <w:r w:rsidR="000115AB">
        <w:t>o </w:t>
      </w:r>
      <w:r w:rsidRPr="00D22FDF">
        <w:t>2015/1186 is amended in accordance with Annex</w:t>
      </w:r>
      <w:r w:rsidR="000115AB">
        <w:t> </w:t>
      </w:r>
      <w:r w:rsidRPr="00D22FDF">
        <w:t xml:space="preserve">XIV to this </w:t>
      </w:r>
      <w:r w:rsidR="00997524">
        <w:t xml:space="preserve">Delegated </w:t>
      </w:r>
      <w:r w:rsidRPr="00D22FDF">
        <w:t>Regulation.</w:t>
      </w:r>
    </w:p>
    <w:p w:rsidR="0003758F" w:rsidRPr="00D22FDF" w:rsidRDefault="0003758F" w:rsidP="0003758F">
      <w:pPr>
        <w:pStyle w:val="Titrearticle"/>
        <w:rPr>
          <w:b/>
          <w:i w:val="0"/>
        </w:rPr>
      </w:pPr>
      <w:r w:rsidRPr="00D22FDF">
        <w:t>Article 15</w:t>
      </w:r>
      <w:r w:rsidRPr="00D22FDF">
        <w:br/>
      </w:r>
      <w:r w:rsidRPr="00D22FDF">
        <w:rPr>
          <w:b/>
          <w:i w:val="0"/>
        </w:rPr>
        <w:t>Amendments to Delegated Regulation (EU) 2015/1187</w:t>
      </w:r>
    </w:p>
    <w:p w:rsidR="0003758F" w:rsidRPr="00D22FDF" w:rsidRDefault="0003758F" w:rsidP="0003758F">
      <w:r w:rsidRPr="00D22FDF">
        <w:t>Annex X to Delegated Regulation (EU) N</w:t>
      </w:r>
      <w:r w:rsidR="000115AB">
        <w:t>o </w:t>
      </w:r>
      <w:r w:rsidRPr="00D22FDF">
        <w:t>2015/1187 is amended in accordance with Annex</w:t>
      </w:r>
      <w:r w:rsidR="000115AB">
        <w:t> </w:t>
      </w:r>
      <w:r w:rsidRPr="00D22FDF">
        <w:t xml:space="preserve">XV to this </w:t>
      </w:r>
      <w:r w:rsidR="00997524">
        <w:t xml:space="preserve">Delegated </w:t>
      </w:r>
      <w:r w:rsidRPr="00D22FDF">
        <w:t>Regulation.</w:t>
      </w:r>
    </w:p>
    <w:p w:rsidR="0003758F" w:rsidRPr="00D22FDF" w:rsidRDefault="0003758F" w:rsidP="0003758F">
      <w:pPr>
        <w:pStyle w:val="Titrearticle"/>
        <w:rPr>
          <w:b/>
        </w:rPr>
      </w:pPr>
      <w:r w:rsidRPr="00D22FDF">
        <w:t>Article 16</w:t>
      </w:r>
      <w:r w:rsidRPr="00D22FDF">
        <w:br/>
      </w:r>
      <w:r w:rsidRPr="00706691">
        <w:rPr>
          <w:b/>
          <w:i w:val="0"/>
        </w:rPr>
        <w:t>Entry into force</w:t>
      </w:r>
    </w:p>
    <w:p w:rsidR="0003758F" w:rsidRPr="00D22FDF" w:rsidRDefault="0003758F" w:rsidP="0003758F">
      <w:r w:rsidRPr="00D22FDF">
        <w:t xml:space="preserve">This Regulation shall enter into force on the twentieth day following that of its publication in the </w:t>
      </w:r>
      <w:r w:rsidRPr="00D22FDF">
        <w:rPr>
          <w:i/>
        </w:rPr>
        <w:t>Official Journal of the European Union</w:t>
      </w:r>
      <w:r w:rsidRPr="00D22FDF">
        <w:t>.</w:t>
      </w:r>
    </w:p>
    <w:p w:rsidR="0003758F" w:rsidRPr="00D22FDF" w:rsidRDefault="0003758F" w:rsidP="0003758F">
      <w:pPr>
        <w:rPr>
          <w:i/>
        </w:rPr>
      </w:pPr>
      <w:r w:rsidRPr="00D22FDF">
        <w:t>This Regulation shall be binding in its entirety and directly applicable in all Member States</w:t>
      </w:r>
      <w:r w:rsidRPr="00D22FDF">
        <w:rPr>
          <w:i/>
        </w:rPr>
        <w:t>.</w:t>
      </w:r>
    </w:p>
    <w:p w:rsidR="0003758F" w:rsidRPr="00D22FDF" w:rsidRDefault="00750822" w:rsidP="00750822">
      <w:pPr>
        <w:pStyle w:val="Fait"/>
      </w:pPr>
      <w:r w:rsidRPr="00750822">
        <w:lastRenderedPageBreak/>
        <w:t>Done at Brussels,</w:t>
      </w:r>
    </w:p>
    <w:p w:rsidR="0003758F" w:rsidRPr="00D22FDF" w:rsidRDefault="0003758F" w:rsidP="0003758F">
      <w:pPr>
        <w:pStyle w:val="Institutionquisigne"/>
      </w:pPr>
      <w:r w:rsidRPr="00D22FDF">
        <w:tab/>
        <w:t>For the Commission</w:t>
      </w:r>
    </w:p>
    <w:p w:rsidR="00750822" w:rsidRPr="00750822" w:rsidRDefault="00750822" w:rsidP="00750822">
      <w:pPr>
        <w:pStyle w:val="Personnequisigne"/>
        <w:ind w:left="4252"/>
      </w:pPr>
      <w:r>
        <w:t>The President</w:t>
      </w:r>
      <w:r>
        <w:br/>
      </w:r>
      <w:r w:rsidRPr="00750822">
        <w:rPr>
          <w:i w:val="0"/>
        </w:rPr>
        <w:t>Jean-Claude JUNCKER</w:t>
      </w:r>
    </w:p>
    <w:sectPr w:rsidR="00750822" w:rsidRPr="00750822" w:rsidSect="00241492">
      <w:pgSz w:w="11907" w:h="16839" w:code="9"/>
      <w:pgMar w:top="1106" w:right="1389" w:bottom="1077" w:left="1389" w:header="680"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8F" w:rsidRPr="00D22FDF" w:rsidRDefault="0003758F" w:rsidP="0003758F">
      <w:pPr>
        <w:spacing w:before="0" w:after="0"/>
      </w:pPr>
      <w:r w:rsidRPr="00D22FDF">
        <w:separator/>
      </w:r>
    </w:p>
  </w:endnote>
  <w:endnote w:type="continuationSeparator" w:id="0">
    <w:p w:rsidR="0003758F" w:rsidRPr="00D22FDF" w:rsidRDefault="0003758F" w:rsidP="0003758F">
      <w:pPr>
        <w:spacing w:before="0" w:after="0"/>
      </w:pPr>
      <w:r w:rsidRPr="00D22F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Default="0047578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8F" w:rsidRPr="00241492" w:rsidRDefault="00241492" w:rsidP="00241492">
    <w:pPr>
      <w:pStyle w:val="Bunntekst"/>
      <w:rPr>
        <w:rFonts w:ascii="Arial" w:hAnsi="Arial" w:cs="Arial"/>
        <w:b/>
        <w:sz w:val="48"/>
      </w:rPr>
    </w:pPr>
    <w:r w:rsidRPr="00241492">
      <w:rPr>
        <w:rFonts w:ascii="Arial" w:hAnsi="Arial" w:cs="Arial"/>
        <w:b/>
        <w:sz w:val="48"/>
      </w:rPr>
      <w:t>EN</w:t>
    </w:r>
    <w:r w:rsidRPr="00241492">
      <w:rPr>
        <w:rFonts w:ascii="Arial" w:hAnsi="Arial" w:cs="Arial"/>
        <w:b/>
        <w:sz w:val="48"/>
      </w:rPr>
      <w:tab/>
    </w:r>
    <w:r w:rsidRPr="00241492">
      <w:rPr>
        <w:rFonts w:ascii="Arial" w:hAnsi="Arial" w:cs="Arial"/>
        <w:b/>
        <w:sz w:val="48"/>
      </w:rPr>
      <w:tab/>
    </w:r>
    <w:fldSimple w:instr=" DOCVARIABLE &quot;LW_Confidence&quot; \* MERGEFORMAT ">
      <w:r>
        <w:t xml:space="preserve"> </w:t>
      </w:r>
    </w:fldSimple>
    <w:r w:rsidRPr="00241492">
      <w:tab/>
    </w:r>
    <w:r w:rsidRPr="00241492">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Default="00475780">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92" w:rsidRPr="00241492" w:rsidRDefault="00241492" w:rsidP="00241492">
    <w:pPr>
      <w:pStyle w:val="Bunntekst"/>
      <w:rPr>
        <w:rFonts w:ascii="Arial" w:hAnsi="Arial" w:cs="Arial"/>
        <w:b/>
        <w:sz w:val="48"/>
      </w:rPr>
    </w:pPr>
    <w:r w:rsidRPr="00241492">
      <w:rPr>
        <w:rFonts w:ascii="Arial" w:hAnsi="Arial" w:cs="Arial"/>
        <w:b/>
        <w:sz w:val="48"/>
      </w:rPr>
      <w:t>EN</w:t>
    </w:r>
    <w:r w:rsidRPr="00241492">
      <w:rPr>
        <w:rFonts w:ascii="Arial" w:hAnsi="Arial" w:cs="Arial"/>
        <w:b/>
        <w:sz w:val="48"/>
      </w:rPr>
      <w:tab/>
    </w:r>
    <w:r>
      <w:fldChar w:fldCharType="begin"/>
    </w:r>
    <w:r>
      <w:instrText xml:space="preserve"> PAGE  \* MERGEFORMAT </w:instrText>
    </w:r>
    <w:r>
      <w:fldChar w:fldCharType="separate"/>
    </w:r>
    <w:r w:rsidR="00BD32B2">
      <w:rPr>
        <w:noProof/>
      </w:rPr>
      <w:t>4</w:t>
    </w:r>
    <w:r>
      <w:fldChar w:fldCharType="end"/>
    </w:r>
    <w:r>
      <w:tab/>
    </w:r>
    <w:fldSimple w:instr=" DOCVARIABLE &quot;LW_Confidence&quot; \* MERGEFORMAT ">
      <w:r>
        <w:t xml:space="preserve"> </w:t>
      </w:r>
    </w:fldSimple>
    <w:r w:rsidRPr="00241492">
      <w:tab/>
    </w:r>
    <w:r w:rsidRPr="00241492">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92" w:rsidRPr="00241492" w:rsidRDefault="00241492" w:rsidP="0024149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8F" w:rsidRPr="00D22FDF" w:rsidRDefault="0003758F" w:rsidP="0003758F">
      <w:pPr>
        <w:spacing w:before="0" w:after="0"/>
      </w:pPr>
      <w:r w:rsidRPr="00D22FDF">
        <w:separator/>
      </w:r>
    </w:p>
  </w:footnote>
  <w:footnote w:type="continuationSeparator" w:id="0">
    <w:p w:rsidR="0003758F" w:rsidRPr="00D22FDF" w:rsidRDefault="0003758F" w:rsidP="0003758F">
      <w:pPr>
        <w:spacing w:before="0" w:after="0"/>
      </w:pPr>
      <w:r w:rsidRPr="00D22FDF">
        <w:continuationSeparator/>
      </w:r>
    </w:p>
  </w:footnote>
  <w:footnote w:id="1">
    <w:p w:rsidR="00835371" w:rsidRPr="00D22FDF" w:rsidRDefault="00835371" w:rsidP="00835371">
      <w:pPr>
        <w:pStyle w:val="Fotnotetekst"/>
        <w:ind w:left="200" w:hanging="200"/>
      </w:pPr>
      <w:r w:rsidRPr="00D22FDF">
        <w:rPr>
          <w:rStyle w:val="Fotnotereferanse"/>
        </w:rPr>
        <w:footnoteRef/>
      </w:r>
      <w:r w:rsidR="00BB650B" w:rsidRPr="00D22FDF">
        <w:tab/>
      </w:r>
      <w:r w:rsidRPr="00D22FDF">
        <w:t>OJ L 153, 18.6.2010, p. 1.</w:t>
      </w:r>
    </w:p>
  </w:footnote>
  <w:footnote w:id="2">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1059/2010 of 28 September 2010 supplementing Directive</w:t>
      </w:r>
      <w:r w:rsidR="00F62B9F">
        <w:t> </w:t>
      </w:r>
      <w:r w:rsidRPr="00D22FDF">
        <w:t>2010/30/EU of the European Parliament and of the Council with regard to energy labelling of household dishwashers (OJ L 314, 30.11.2010, p. 1)</w:t>
      </w:r>
      <w:r w:rsidR="00D22FDF">
        <w:t>.</w:t>
      </w:r>
    </w:p>
  </w:footnote>
  <w:footnote w:id="3">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1060/2010 of 28 September 2010 supplementing Directive</w:t>
      </w:r>
      <w:r w:rsidR="00F62B9F">
        <w:t> </w:t>
      </w:r>
      <w:r w:rsidRPr="00D22FDF">
        <w:t>2010/30/EU of the European Parliament and of the Council with regard to energy labelling of household refrigerating appliances (OJ L 314, 30.11.2010, p. 17)</w:t>
      </w:r>
      <w:r w:rsidR="00D22FDF">
        <w:t>.</w:t>
      </w:r>
    </w:p>
  </w:footnote>
  <w:footnote w:id="4">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1061/2010 of 28 September 2010 supplementing Directive</w:t>
      </w:r>
      <w:r w:rsidR="00F62B9F">
        <w:t> </w:t>
      </w:r>
      <w:r w:rsidRPr="00D22FDF">
        <w:t xml:space="preserve">2010/30/EU of the European Parliament and of the Council with regard to energy labelling of </w:t>
      </w:r>
      <w:r w:rsidR="00221E1B">
        <w:t xml:space="preserve">household </w:t>
      </w:r>
      <w:r w:rsidRPr="00D22FDF">
        <w:t>washing machines (OJ L 314, 30.11.2010, p. 47)</w:t>
      </w:r>
      <w:r w:rsidR="00D22FDF">
        <w:t>.</w:t>
      </w:r>
    </w:p>
  </w:footnote>
  <w:footnote w:id="5">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No</w:t>
      </w:r>
      <w:r w:rsidR="00F62B9F">
        <w:t> </w:t>
      </w:r>
      <w:r w:rsidRPr="00D22FDF">
        <w:t>1062/2010 of 28 September 2010 supplementing Directive</w:t>
      </w:r>
      <w:r w:rsidR="00F62B9F">
        <w:t> </w:t>
      </w:r>
      <w:r w:rsidRPr="00D22FDF">
        <w:t>2010/30/EU of the European Parliament and of the Council with regard to energy labelling of televisions (OJ L 314, 30.11.2010, p. 64)</w:t>
      </w:r>
      <w:r w:rsidR="00D22FDF">
        <w:t>.</w:t>
      </w:r>
    </w:p>
  </w:footnote>
  <w:footnote w:id="6">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626/2011 of 4 May 2011 supplementing Directive</w:t>
      </w:r>
      <w:r w:rsidR="00F62B9F">
        <w:t> </w:t>
      </w:r>
      <w:r w:rsidRPr="00D22FDF">
        <w:t>2010/30/EU of the European Parliament and of the Council with regard to energy labelling of air conditioners (OJ L 178, 6.7.2011, p. 1)</w:t>
      </w:r>
      <w:r w:rsidR="00D22FDF">
        <w:t>.</w:t>
      </w:r>
    </w:p>
  </w:footnote>
  <w:footnote w:id="7">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392/2012 of 1 March 2012 supplementing Directive</w:t>
      </w:r>
      <w:r w:rsidR="00F62B9F">
        <w:t> </w:t>
      </w:r>
      <w:r w:rsidRPr="00D22FDF">
        <w:t>2010/30/EU of the European Parliament and of the Council with regard to energy labelling of household tumble driers (OJ L 123, 9.5.2012, p. 1)</w:t>
      </w:r>
      <w:r w:rsidR="00D22FDF">
        <w:t>.</w:t>
      </w:r>
    </w:p>
  </w:footnote>
  <w:footnote w:id="8">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874/2012 of 12 July 2012 supplementing Directive 2010/30/EU of the European Parliament and of the Council with regard to energy labelling of electrical lamps and luminaires (OJ L 258, 26.9.2012, p. 1)</w:t>
      </w:r>
      <w:r w:rsidR="00D22FDF">
        <w:t>.</w:t>
      </w:r>
    </w:p>
  </w:footnote>
  <w:footnote w:id="9">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665/2013 of 3 May 2013 supplementing Directive 2010/30/EU of the European Parliament and of the Council with regard to energy labelling of vacuum cleaners (OJ L 192, 13.7.2013, p. 1)</w:t>
      </w:r>
      <w:r w:rsidR="00D22FDF">
        <w:t>.</w:t>
      </w:r>
    </w:p>
  </w:footnote>
  <w:footnote w:id="10">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811/2013 of 18 February 2013 supplementing Directive</w:t>
      </w:r>
      <w:r w:rsidR="00F62B9F">
        <w:t> </w:t>
      </w:r>
      <w:r w:rsidRPr="00D22FDF">
        <w:t>2010/30/EU of the European Parliament and of the Council with regard to the energy labelling of space heaters, combination heaters, packages of space heater, temperature control and solar device and packages of combination heater, temperature control and solar device (OJ L 239, 6.9.2013, p. 1)</w:t>
      </w:r>
      <w:r w:rsidR="00D22FDF">
        <w:t>.</w:t>
      </w:r>
    </w:p>
  </w:footnote>
  <w:footnote w:id="11">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812/2013 of 18 February 2013 supplementing Directive</w:t>
      </w:r>
      <w:r w:rsidR="00F62B9F">
        <w:t> </w:t>
      </w:r>
      <w:r w:rsidRPr="00D22FDF">
        <w:t>2010/30/EU of the European Parliament and of the Council with regard to the energy labelling of water heaters, hot water storage tanks and packages of water heater and solar device (OJ L 239, 6.9.2013, p. 83)</w:t>
      </w:r>
      <w:r w:rsidR="00D22FDF">
        <w:t>.</w:t>
      </w:r>
    </w:p>
  </w:footnote>
  <w:footnote w:id="12">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65/2014 of 1 October 2013 supplementing Directive 2010/30/EU of the European Parliament and of the Council with regard to the energy labelling of domestic ovens and range hoods (OJ L 29, 31.1.2014, p</w:t>
      </w:r>
      <w:r w:rsidR="00B62380">
        <w:t>.</w:t>
      </w:r>
      <w:r w:rsidRPr="00D22FDF">
        <w:t xml:space="preserve"> 1)</w:t>
      </w:r>
      <w:r w:rsidR="00D22FDF">
        <w:t>.</w:t>
      </w:r>
    </w:p>
  </w:footnote>
  <w:footnote w:id="13">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 N</w:t>
      </w:r>
      <w:r w:rsidR="00F62B9F">
        <w:t>o </w:t>
      </w:r>
      <w:r w:rsidRPr="00D22FDF">
        <w:t xml:space="preserve">1254/2014 of 11 July </w:t>
      </w:r>
      <w:r w:rsidR="005D72AD">
        <w:t xml:space="preserve">2014 </w:t>
      </w:r>
      <w:r w:rsidRPr="00D22FDF">
        <w:t>with regard to energy labelling of residential ventilation units (OJ L 337, 25.11.2014, p. 27)</w:t>
      </w:r>
      <w:r w:rsidR="00D22FDF">
        <w:t>.</w:t>
      </w:r>
    </w:p>
  </w:footnote>
  <w:footnote w:id="14">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w:t>
      </w:r>
      <w:r w:rsidR="00F62B9F">
        <w:t> </w:t>
      </w:r>
      <w:r w:rsidRPr="00D22FDF">
        <w:t>2015/1094 of 5 May 2015 supplementing Directive 2010/30/EU of the European Parliament and of the Council with regard to the energy labelling of professional refrigerated storage cabinets (OJ L 177, 8.7.2015, p. 2)</w:t>
      </w:r>
      <w:r w:rsidR="00D22FDF">
        <w:t>.</w:t>
      </w:r>
    </w:p>
  </w:footnote>
  <w:footnote w:id="15">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w:t>
      </w:r>
      <w:r w:rsidR="00F62B9F">
        <w:t> </w:t>
      </w:r>
      <w:r w:rsidRPr="00D22FDF">
        <w:t>2015/1186 of 24 April 2015 supplementing Directive 2010/30/EU of the European Parliament and of the Council with regard to the energy labelling of local space heaters (OJ L 193, 21.7.2015, p. 20)</w:t>
      </w:r>
      <w:r w:rsidR="00D22FDF">
        <w:t>.</w:t>
      </w:r>
    </w:p>
  </w:footnote>
  <w:footnote w:id="16">
    <w:p w:rsidR="00835371" w:rsidRPr="00D22FDF" w:rsidRDefault="00835371" w:rsidP="00835371">
      <w:pPr>
        <w:pStyle w:val="Fotnotetekst"/>
        <w:ind w:left="200" w:hanging="200"/>
      </w:pPr>
      <w:r w:rsidRPr="00D22FDF">
        <w:rPr>
          <w:rStyle w:val="Fotnotereferanse"/>
        </w:rPr>
        <w:footnoteRef/>
      </w:r>
      <w:r w:rsidR="00BB650B" w:rsidRPr="00D22FDF">
        <w:tab/>
      </w:r>
      <w:r w:rsidRPr="00D22FDF">
        <w:t>Commission Delegated Regulation (EU)</w:t>
      </w:r>
      <w:r w:rsidR="00F62B9F">
        <w:t> </w:t>
      </w:r>
      <w:r w:rsidRPr="00D22FDF">
        <w:t>2015/1187 of 27 April 2015 supplementing Directive 2010/30/EU of the European Parliament and of the Council with regard to energy labelling of solid fuel boilers and packages of a solid fuel boiler, supplementary heaters, temperature controls and solar devices (OJ L 193, 21.7.2015, p. 43)</w:t>
      </w:r>
      <w:r w:rsidR="00D22F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Default="0047578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Default="0047578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Default="0047578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B1"/>
    <w:multiLevelType w:val="multilevel"/>
    <w:tmpl w:val="30847FD6"/>
    <w:lvl w:ilvl="0">
      <w:start w:val="1"/>
      <w:numFmt w:val="decimal"/>
      <w:lvlRestart w:val="0"/>
      <w:pStyle w:val="Nummerertliste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lvl w:ilvl="0">
      <w:start w:val="1"/>
      <w:numFmt w:val="decimal"/>
      <w:lvlRestart w:val="0"/>
      <w:pStyle w:val="Nummerertliste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DD5905"/>
    <w:multiLevelType w:val="singleLevel"/>
    <w:tmpl w:val="6CB4B73E"/>
    <w:name w:val="List Bullet 2"/>
    <w:lvl w:ilvl="0">
      <w:start w:val="1"/>
      <w:numFmt w:val="bullet"/>
      <w:lvlRestart w:val="0"/>
      <w:pStyle w:val="Punktliste2"/>
      <w:lvlText w:val=""/>
      <w:lvlJc w:val="left"/>
      <w:pPr>
        <w:tabs>
          <w:tab w:val="num" w:pos="1134"/>
        </w:tabs>
        <w:ind w:left="1134" w:hanging="283"/>
      </w:pPr>
      <w:rPr>
        <w:rFonts w:ascii="Symbol" w:hAnsi="Symbol"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930D7"/>
    <w:multiLevelType w:val="multilevel"/>
    <w:tmpl w:val="EFD2E05E"/>
    <w:lvl w:ilvl="0">
      <w:start w:val="1"/>
      <w:numFmt w:val="decimal"/>
      <w:lvlRestart w:val="0"/>
      <w:pStyle w:val="Nummerertliste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3E191884"/>
    <w:multiLevelType w:val="singleLevel"/>
    <w:tmpl w:val="3020C764"/>
    <w:name w:val="List Bullet 3"/>
    <w:lvl w:ilvl="0">
      <w:start w:val="1"/>
      <w:numFmt w:val="bullet"/>
      <w:lvlRestart w:val="0"/>
      <w:pStyle w:val="Punktliste3"/>
      <w:lvlText w:val=""/>
      <w:lvlJc w:val="left"/>
      <w:pPr>
        <w:tabs>
          <w:tab w:val="num" w:pos="1134"/>
        </w:tabs>
        <w:ind w:left="1134" w:hanging="283"/>
      </w:pPr>
      <w:rPr>
        <w:rFonts w:ascii="Symbol" w:hAnsi="Symbol" w:hint="default"/>
      </w:rPr>
    </w:lvl>
  </w:abstractNum>
  <w:abstractNum w:abstractNumId="9"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F8C3B69"/>
    <w:multiLevelType w:val="multilevel"/>
    <w:tmpl w:val="9B14DAA8"/>
    <w:name w:val="0.2034724"/>
    <w:lvl w:ilvl="0">
      <w:start w:val="1"/>
      <w:numFmt w:val="decimal"/>
      <w:lvlRestart w:val="0"/>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A6901C1"/>
    <w:multiLevelType w:val="singleLevel"/>
    <w:tmpl w:val="208841AE"/>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15:restartNumberingAfterBreak="0">
    <w:nsid w:val="6D2B5511"/>
    <w:multiLevelType w:val="singleLevel"/>
    <w:tmpl w:val="74A09970"/>
    <w:name w:val="0.141914"/>
    <w:lvl w:ilvl="0">
      <w:start w:val="1"/>
      <w:numFmt w:val="bullet"/>
      <w:lvlRestart w:val="0"/>
      <w:pStyle w:val="Punktliste"/>
      <w:lvlText w:val=""/>
      <w:lvlJc w:val="left"/>
      <w:pPr>
        <w:tabs>
          <w:tab w:val="num" w:pos="283"/>
        </w:tabs>
        <w:ind w:left="283" w:hanging="283"/>
      </w:pPr>
      <w:rPr>
        <w:rFonts w:ascii="Symbol" w:hAnsi="Symbol" w:hint="default"/>
      </w:rPr>
    </w:lvl>
  </w:abstractNum>
  <w:abstractNum w:abstractNumId="2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8" w15:restartNumberingAfterBreak="0">
    <w:nsid w:val="7F7154E1"/>
    <w:multiLevelType w:val="singleLevel"/>
    <w:tmpl w:val="E3F6D2C6"/>
    <w:name w:val="List Bullet 4"/>
    <w:lvl w:ilvl="0">
      <w:start w:val="1"/>
      <w:numFmt w:val="bullet"/>
      <w:lvlRestart w:val="0"/>
      <w:pStyle w:val="Punktliste4"/>
      <w:lvlText w:val=""/>
      <w:lvlJc w:val="left"/>
      <w:pPr>
        <w:tabs>
          <w:tab w:val="num" w:pos="1134"/>
        </w:tabs>
        <w:ind w:left="1134" w:hanging="283"/>
      </w:pPr>
      <w:rPr>
        <w:rFonts w:ascii="Symbol" w:hAnsi="Symbol" w:hint="default"/>
      </w:rPr>
    </w:lvl>
  </w:abstractNum>
  <w:num w:numId="1">
    <w:abstractNumId w:val="26"/>
    <w:lvlOverride w:ilvl="0">
      <w:startOverride w:val="1"/>
    </w:lvlOverride>
  </w:num>
  <w:num w:numId="2">
    <w:abstractNumId w:val="18"/>
  </w:num>
  <w:num w:numId="3">
    <w:abstractNumId w:val="25"/>
  </w:num>
  <w:num w:numId="4">
    <w:abstractNumId w:val="5"/>
  </w:num>
  <w:num w:numId="5">
    <w:abstractNumId w:val="1"/>
  </w:num>
  <w:num w:numId="6">
    <w:abstractNumId w:val="0"/>
  </w:num>
  <w:num w:numId="7">
    <w:abstractNumId w:val="23"/>
  </w:num>
  <w:num w:numId="8">
    <w:abstractNumId w:val="22"/>
  </w:num>
  <w:num w:numId="9">
    <w:abstractNumId w:val="2"/>
  </w:num>
  <w:num w:numId="10">
    <w:abstractNumId w:val="8"/>
  </w:num>
  <w:num w:numId="11">
    <w:abstractNumId w:val="28"/>
  </w:num>
  <w:num w:numId="12">
    <w:abstractNumId w:val="9"/>
  </w:num>
  <w:num w:numId="13">
    <w:abstractNumId w:val="19"/>
  </w:num>
  <w:num w:numId="14">
    <w:abstractNumId w:val="14"/>
  </w:num>
  <w:num w:numId="15">
    <w:abstractNumId w:val="24"/>
  </w:num>
  <w:num w:numId="16">
    <w:abstractNumId w:val="2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1"/>
  </w:num>
  <w:num w:numId="21">
    <w:abstractNumId w:val="7"/>
  </w:num>
  <w:num w:numId="22">
    <w:abstractNumId w:val="11"/>
  </w:num>
  <w:num w:numId="23">
    <w:abstractNumId w:val="4"/>
  </w:num>
  <w:num w:numId="24">
    <w:abstractNumId w:val="20"/>
  </w:num>
  <w:num w:numId="25">
    <w:abstractNumId w:val="3"/>
  </w:num>
  <w:num w:numId="26">
    <w:abstractNumId w:val="12"/>
  </w:num>
  <w:num w:numId="27">
    <w:abstractNumId w:val="15"/>
  </w:num>
  <w:num w:numId="28">
    <w:abstractNumId w:val="16"/>
  </w:num>
  <w:num w:numId="29">
    <w:abstractNumId w:val="6"/>
  </w:num>
  <w:num w:numId="30">
    <w:abstractNumId w:val="1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8 16:19: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FAFE00EC0BC84A48B6E24995BC30C83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amending Delegated Regulations (EU) No 1059/2010, (EU) No 1060/2010, (EU) No 1061/2010, (EU) No 1062/2010, (EU) No 626/2011, (EU) No 392/2012, (EU) No 874/2012, (EU) No 665/2013, (EU) No 811/2013, (EU) No 812/2013, (EU) No 65/2014, (EU) No 1254/2014, (EU) 2015/1094, (EU) 2015/1186 and (EU) 2015/1187 with regard to the use of tolerances in verification procedures_x000b_"/>
    <w:docVar w:name="LW_TYPE.DOC.CP" w:val="COMMISSION DELEGATED REGULATION (EU) \u8230?/..."/>
    <w:docVar w:name="Stamp" w:val="\\dossiers.dgt.cec.eu.int\dossiers\ENER\ENER-2015-01162\ENER-2015-01162-00-00-EN-REV-00.DOCX"/>
  </w:docVars>
  <w:rsids>
    <w:rsidRoot w:val="0003758F"/>
    <w:rsid w:val="000064A6"/>
    <w:rsid w:val="000115AB"/>
    <w:rsid w:val="000234E1"/>
    <w:rsid w:val="0003758F"/>
    <w:rsid w:val="00050AC6"/>
    <w:rsid w:val="00053F72"/>
    <w:rsid w:val="00066443"/>
    <w:rsid w:val="000A6BA1"/>
    <w:rsid w:val="000A7AA3"/>
    <w:rsid w:val="000C33C0"/>
    <w:rsid w:val="000D0872"/>
    <w:rsid w:val="000D0A07"/>
    <w:rsid w:val="000D3B73"/>
    <w:rsid w:val="000D5E50"/>
    <w:rsid w:val="000E359E"/>
    <w:rsid w:val="001033D0"/>
    <w:rsid w:val="001162A7"/>
    <w:rsid w:val="00116FFD"/>
    <w:rsid w:val="00117E6D"/>
    <w:rsid w:val="0013045E"/>
    <w:rsid w:val="00135214"/>
    <w:rsid w:val="00136252"/>
    <w:rsid w:val="00137144"/>
    <w:rsid w:val="00142EBC"/>
    <w:rsid w:val="00143695"/>
    <w:rsid w:val="00153A95"/>
    <w:rsid w:val="00171635"/>
    <w:rsid w:val="001A627C"/>
    <w:rsid w:val="001C5A8C"/>
    <w:rsid w:val="001F09D7"/>
    <w:rsid w:val="001F6868"/>
    <w:rsid w:val="001F7B86"/>
    <w:rsid w:val="00202263"/>
    <w:rsid w:val="00212B93"/>
    <w:rsid w:val="00217D6C"/>
    <w:rsid w:val="00221E1B"/>
    <w:rsid w:val="00223126"/>
    <w:rsid w:val="00236D7C"/>
    <w:rsid w:val="00241492"/>
    <w:rsid w:val="0026318C"/>
    <w:rsid w:val="002C3002"/>
    <w:rsid w:val="002D287C"/>
    <w:rsid w:val="002D52BE"/>
    <w:rsid w:val="00317A8A"/>
    <w:rsid w:val="0034445E"/>
    <w:rsid w:val="003544F3"/>
    <w:rsid w:val="00396EA7"/>
    <w:rsid w:val="003A26AF"/>
    <w:rsid w:val="003A6A7F"/>
    <w:rsid w:val="003B0FB7"/>
    <w:rsid w:val="003B59E4"/>
    <w:rsid w:val="003C09FC"/>
    <w:rsid w:val="003C33DE"/>
    <w:rsid w:val="003C5D84"/>
    <w:rsid w:val="003E2F26"/>
    <w:rsid w:val="003F1C0B"/>
    <w:rsid w:val="00400EE8"/>
    <w:rsid w:val="004229D6"/>
    <w:rsid w:val="00450CA1"/>
    <w:rsid w:val="0045231C"/>
    <w:rsid w:val="00460C9F"/>
    <w:rsid w:val="00465A58"/>
    <w:rsid w:val="00471C25"/>
    <w:rsid w:val="00475780"/>
    <w:rsid w:val="00480451"/>
    <w:rsid w:val="00486AE2"/>
    <w:rsid w:val="00486B7C"/>
    <w:rsid w:val="00491071"/>
    <w:rsid w:val="004A7BD8"/>
    <w:rsid w:val="004B2C4E"/>
    <w:rsid w:val="004B3F7D"/>
    <w:rsid w:val="004B5B42"/>
    <w:rsid w:val="004C4363"/>
    <w:rsid w:val="004E4BC2"/>
    <w:rsid w:val="00526B31"/>
    <w:rsid w:val="00554594"/>
    <w:rsid w:val="005633C1"/>
    <w:rsid w:val="00580789"/>
    <w:rsid w:val="005C29AB"/>
    <w:rsid w:val="005D72AD"/>
    <w:rsid w:val="005F2033"/>
    <w:rsid w:val="006216FC"/>
    <w:rsid w:val="00673264"/>
    <w:rsid w:val="006819FB"/>
    <w:rsid w:val="00684A4B"/>
    <w:rsid w:val="006B01E7"/>
    <w:rsid w:val="006C2D18"/>
    <w:rsid w:val="006C7B6E"/>
    <w:rsid w:val="006E0761"/>
    <w:rsid w:val="006E4E42"/>
    <w:rsid w:val="006E617A"/>
    <w:rsid w:val="006E76F7"/>
    <w:rsid w:val="00704697"/>
    <w:rsid w:val="00706691"/>
    <w:rsid w:val="00713ACD"/>
    <w:rsid w:val="00715D61"/>
    <w:rsid w:val="00732A34"/>
    <w:rsid w:val="00736507"/>
    <w:rsid w:val="00750822"/>
    <w:rsid w:val="00751070"/>
    <w:rsid w:val="00754A14"/>
    <w:rsid w:val="00772BB2"/>
    <w:rsid w:val="007B2DFD"/>
    <w:rsid w:val="007C5C7D"/>
    <w:rsid w:val="007D1308"/>
    <w:rsid w:val="007D4FAD"/>
    <w:rsid w:val="007D53B6"/>
    <w:rsid w:val="007F5217"/>
    <w:rsid w:val="007F7FA9"/>
    <w:rsid w:val="00810B3C"/>
    <w:rsid w:val="008168F8"/>
    <w:rsid w:val="00820527"/>
    <w:rsid w:val="00821088"/>
    <w:rsid w:val="00825E3D"/>
    <w:rsid w:val="0083518D"/>
    <w:rsid w:val="00835371"/>
    <w:rsid w:val="00845C78"/>
    <w:rsid w:val="00860272"/>
    <w:rsid w:val="00861C03"/>
    <w:rsid w:val="00872847"/>
    <w:rsid w:val="0087416E"/>
    <w:rsid w:val="008A3ED3"/>
    <w:rsid w:val="008C1268"/>
    <w:rsid w:val="008C791A"/>
    <w:rsid w:val="008E1DF2"/>
    <w:rsid w:val="00903244"/>
    <w:rsid w:val="009369DA"/>
    <w:rsid w:val="00936EB3"/>
    <w:rsid w:val="00972112"/>
    <w:rsid w:val="00997524"/>
    <w:rsid w:val="00A1323E"/>
    <w:rsid w:val="00A13A9F"/>
    <w:rsid w:val="00A46DDA"/>
    <w:rsid w:val="00A47985"/>
    <w:rsid w:val="00A71C6B"/>
    <w:rsid w:val="00A82431"/>
    <w:rsid w:val="00A8295F"/>
    <w:rsid w:val="00A93DBC"/>
    <w:rsid w:val="00A952DE"/>
    <w:rsid w:val="00AB42C3"/>
    <w:rsid w:val="00AD147B"/>
    <w:rsid w:val="00B04DCA"/>
    <w:rsid w:val="00B1798E"/>
    <w:rsid w:val="00B44CFD"/>
    <w:rsid w:val="00B53D9C"/>
    <w:rsid w:val="00B553D0"/>
    <w:rsid w:val="00B62380"/>
    <w:rsid w:val="00B808D8"/>
    <w:rsid w:val="00B81DAC"/>
    <w:rsid w:val="00B913BA"/>
    <w:rsid w:val="00BB650B"/>
    <w:rsid w:val="00BB6A7C"/>
    <w:rsid w:val="00BD32B2"/>
    <w:rsid w:val="00BE0343"/>
    <w:rsid w:val="00C120E1"/>
    <w:rsid w:val="00C31F84"/>
    <w:rsid w:val="00C6506E"/>
    <w:rsid w:val="00C72352"/>
    <w:rsid w:val="00C762A6"/>
    <w:rsid w:val="00C809B6"/>
    <w:rsid w:val="00C845FD"/>
    <w:rsid w:val="00CD615A"/>
    <w:rsid w:val="00CF6920"/>
    <w:rsid w:val="00D04DB9"/>
    <w:rsid w:val="00D21787"/>
    <w:rsid w:val="00D22FDF"/>
    <w:rsid w:val="00D33679"/>
    <w:rsid w:val="00D4230F"/>
    <w:rsid w:val="00D43CF4"/>
    <w:rsid w:val="00D80B72"/>
    <w:rsid w:val="00D80ECA"/>
    <w:rsid w:val="00D8406F"/>
    <w:rsid w:val="00D96D4F"/>
    <w:rsid w:val="00DA5CB9"/>
    <w:rsid w:val="00DC2257"/>
    <w:rsid w:val="00E0704D"/>
    <w:rsid w:val="00E16C7A"/>
    <w:rsid w:val="00E2757D"/>
    <w:rsid w:val="00E36E24"/>
    <w:rsid w:val="00E7293F"/>
    <w:rsid w:val="00E8274E"/>
    <w:rsid w:val="00EA1FFA"/>
    <w:rsid w:val="00F002BA"/>
    <w:rsid w:val="00F24ADB"/>
    <w:rsid w:val="00F5096C"/>
    <w:rsid w:val="00F62B9F"/>
    <w:rsid w:val="00F70191"/>
    <w:rsid w:val="00F807D6"/>
    <w:rsid w:val="00F87183"/>
    <w:rsid w:val="00FB02E1"/>
    <w:rsid w:val="00FC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52727CE4-476A-4D66-AECF-7F318E64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7D53B6"/>
    <w:pPr>
      <w:keepNext/>
      <w:numPr>
        <w:numId w:val="24"/>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7D53B6"/>
    <w:pPr>
      <w:keepNext/>
      <w:numPr>
        <w:ilvl w:val="1"/>
        <w:numId w:val="24"/>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7D53B6"/>
    <w:pPr>
      <w:keepNext/>
      <w:numPr>
        <w:ilvl w:val="2"/>
        <w:numId w:val="24"/>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7D53B6"/>
    <w:pPr>
      <w:keepNext/>
      <w:numPr>
        <w:ilvl w:val="3"/>
        <w:numId w:val="24"/>
      </w:numPr>
      <w:outlineLvl w:val="3"/>
    </w:pPr>
    <w:rPr>
      <w:rFonts w:eastAsiaTheme="majorEastAsia"/>
      <w:bCs/>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rsid w:val="0003758F"/>
    <w:pPr>
      <w:numPr>
        <w:numId w:val="7"/>
      </w:numPr>
    </w:pPr>
    <w:rPr>
      <w:rFonts w:eastAsia="Times New Roman"/>
      <w:szCs w:val="24"/>
      <w:lang w:eastAsia="de-DE"/>
    </w:rPr>
  </w:style>
  <w:style w:type="paragraph" w:styleId="Nummerertliste">
    <w:name w:val="List Number"/>
    <w:basedOn w:val="Normal"/>
    <w:rsid w:val="0003758F"/>
    <w:pPr>
      <w:numPr>
        <w:numId w:val="2"/>
      </w:numPr>
    </w:pPr>
    <w:rPr>
      <w:rFonts w:eastAsia="Times New Roman"/>
      <w:szCs w:val="24"/>
      <w:lang w:eastAsia="de-DE"/>
    </w:rPr>
  </w:style>
  <w:style w:type="paragraph" w:customStyle="1" w:styleId="ListNumberLevel2">
    <w:name w:val="List Number (Level 2)"/>
    <w:basedOn w:val="Normal"/>
    <w:rsid w:val="0003758F"/>
    <w:pPr>
      <w:numPr>
        <w:ilvl w:val="1"/>
        <w:numId w:val="2"/>
      </w:numPr>
    </w:pPr>
    <w:rPr>
      <w:rFonts w:eastAsia="Times New Roman"/>
      <w:szCs w:val="24"/>
      <w:lang w:eastAsia="de-DE"/>
    </w:rPr>
  </w:style>
  <w:style w:type="paragraph" w:customStyle="1" w:styleId="ListNumberLevel3">
    <w:name w:val="List Number (Level 3)"/>
    <w:basedOn w:val="Normal"/>
    <w:rsid w:val="0003758F"/>
    <w:pPr>
      <w:numPr>
        <w:ilvl w:val="2"/>
        <w:numId w:val="2"/>
      </w:numPr>
    </w:pPr>
    <w:rPr>
      <w:rFonts w:eastAsia="Times New Roman"/>
      <w:szCs w:val="24"/>
      <w:lang w:eastAsia="de-DE"/>
    </w:rPr>
  </w:style>
  <w:style w:type="paragraph" w:customStyle="1" w:styleId="ListNumberLevel4">
    <w:name w:val="List Number (Level 4)"/>
    <w:basedOn w:val="Normal"/>
    <w:rsid w:val="0003758F"/>
    <w:pPr>
      <w:numPr>
        <w:ilvl w:val="3"/>
        <w:numId w:val="2"/>
      </w:numPr>
    </w:pPr>
    <w:rPr>
      <w:rFonts w:eastAsia="Times New Roman"/>
      <w:szCs w:val="24"/>
      <w:lang w:eastAsia="de-DE"/>
    </w:rPr>
  </w:style>
  <w:style w:type="paragraph" w:styleId="Bobletekst">
    <w:name w:val="Balloon Text"/>
    <w:basedOn w:val="Normal"/>
    <w:link w:val="BobletekstTegn"/>
    <w:rsid w:val="0003758F"/>
    <w:pPr>
      <w:spacing w:before="0" w:after="0"/>
    </w:pPr>
    <w:rPr>
      <w:rFonts w:ascii="Tahoma" w:eastAsia="Times New Roman" w:hAnsi="Tahoma" w:cs="Tahoma"/>
      <w:sz w:val="16"/>
      <w:szCs w:val="16"/>
    </w:rPr>
  </w:style>
  <w:style w:type="character" w:customStyle="1" w:styleId="BobletekstTegn">
    <w:name w:val="Bobletekst Tegn"/>
    <w:basedOn w:val="Standardskriftforavsnitt"/>
    <w:link w:val="Bobletekst"/>
    <w:rsid w:val="0003758F"/>
    <w:rPr>
      <w:rFonts w:ascii="Tahoma" w:eastAsia="Times New Roman" w:hAnsi="Tahoma" w:cs="Tahoma"/>
      <w:sz w:val="16"/>
      <w:szCs w:val="16"/>
      <w:lang w:val="en-GB"/>
    </w:rPr>
  </w:style>
  <w:style w:type="paragraph" w:customStyle="1" w:styleId="ListNumber1">
    <w:name w:val="List Number 1"/>
    <w:basedOn w:val="Text1"/>
    <w:rsid w:val="0003758F"/>
    <w:pPr>
      <w:numPr>
        <w:numId w:val="3"/>
      </w:numPr>
    </w:pPr>
    <w:rPr>
      <w:rFonts w:eastAsia="Times New Roman"/>
      <w:szCs w:val="24"/>
      <w:lang w:eastAsia="de-DE"/>
    </w:rPr>
  </w:style>
  <w:style w:type="paragraph" w:styleId="Nummerertliste2">
    <w:name w:val="List Number 2"/>
    <w:basedOn w:val="Normal"/>
    <w:rsid w:val="0003758F"/>
    <w:pPr>
      <w:numPr>
        <w:numId w:val="4"/>
      </w:numPr>
    </w:pPr>
    <w:rPr>
      <w:rFonts w:eastAsia="Times New Roman"/>
      <w:szCs w:val="24"/>
      <w:lang w:eastAsia="de-DE"/>
    </w:rPr>
  </w:style>
  <w:style w:type="paragraph" w:styleId="Nummerertliste3">
    <w:name w:val="List Number 3"/>
    <w:basedOn w:val="Normal"/>
    <w:rsid w:val="0003758F"/>
    <w:pPr>
      <w:numPr>
        <w:numId w:val="5"/>
      </w:numPr>
    </w:pPr>
    <w:rPr>
      <w:rFonts w:eastAsia="Times New Roman"/>
      <w:szCs w:val="24"/>
      <w:lang w:eastAsia="de-DE"/>
    </w:rPr>
  </w:style>
  <w:style w:type="paragraph" w:styleId="Nummerertliste4">
    <w:name w:val="List Number 4"/>
    <w:basedOn w:val="Normal"/>
    <w:rsid w:val="0003758F"/>
    <w:pPr>
      <w:numPr>
        <w:numId w:val="6"/>
      </w:numPr>
    </w:pPr>
    <w:rPr>
      <w:rFonts w:eastAsia="Times New Roman"/>
      <w:szCs w:val="24"/>
      <w:lang w:eastAsia="de-DE"/>
    </w:rPr>
  </w:style>
  <w:style w:type="paragraph" w:customStyle="1" w:styleId="ListNumber1Level2">
    <w:name w:val="List Number 1 (Level 2)"/>
    <w:basedOn w:val="Text1"/>
    <w:rsid w:val="0003758F"/>
    <w:pPr>
      <w:numPr>
        <w:ilvl w:val="1"/>
        <w:numId w:val="3"/>
      </w:numPr>
    </w:pPr>
    <w:rPr>
      <w:rFonts w:eastAsia="Times New Roman"/>
      <w:szCs w:val="24"/>
      <w:lang w:eastAsia="de-DE"/>
    </w:rPr>
  </w:style>
  <w:style w:type="paragraph" w:customStyle="1" w:styleId="ListNumber2Level2">
    <w:name w:val="List Number 2 (Level 2)"/>
    <w:basedOn w:val="Text2"/>
    <w:rsid w:val="0003758F"/>
    <w:pPr>
      <w:numPr>
        <w:ilvl w:val="1"/>
        <w:numId w:val="4"/>
      </w:numPr>
    </w:pPr>
    <w:rPr>
      <w:rFonts w:eastAsia="Times New Roman"/>
      <w:szCs w:val="24"/>
      <w:lang w:eastAsia="de-DE"/>
    </w:rPr>
  </w:style>
  <w:style w:type="paragraph" w:customStyle="1" w:styleId="ListNumber3Level2">
    <w:name w:val="List Number 3 (Level 2)"/>
    <w:basedOn w:val="Text3"/>
    <w:rsid w:val="0003758F"/>
    <w:pPr>
      <w:numPr>
        <w:ilvl w:val="1"/>
        <w:numId w:val="5"/>
      </w:numPr>
    </w:pPr>
    <w:rPr>
      <w:rFonts w:eastAsia="Times New Roman"/>
      <w:szCs w:val="24"/>
      <w:lang w:eastAsia="de-DE"/>
    </w:rPr>
  </w:style>
  <w:style w:type="paragraph" w:customStyle="1" w:styleId="ListNumber4Level2">
    <w:name w:val="List Number 4 (Level 2)"/>
    <w:basedOn w:val="Text4"/>
    <w:rsid w:val="0003758F"/>
    <w:pPr>
      <w:numPr>
        <w:ilvl w:val="1"/>
        <w:numId w:val="6"/>
      </w:numPr>
    </w:pPr>
    <w:rPr>
      <w:rFonts w:eastAsia="Times New Roman"/>
      <w:szCs w:val="24"/>
      <w:lang w:eastAsia="de-DE"/>
    </w:rPr>
  </w:style>
  <w:style w:type="paragraph" w:customStyle="1" w:styleId="ListNumber1Level3">
    <w:name w:val="List Number 1 (Level 3)"/>
    <w:basedOn w:val="Text1"/>
    <w:rsid w:val="0003758F"/>
    <w:pPr>
      <w:numPr>
        <w:ilvl w:val="2"/>
        <w:numId w:val="3"/>
      </w:numPr>
    </w:pPr>
    <w:rPr>
      <w:rFonts w:eastAsia="Times New Roman"/>
      <w:szCs w:val="24"/>
      <w:lang w:eastAsia="de-DE"/>
    </w:rPr>
  </w:style>
  <w:style w:type="paragraph" w:customStyle="1" w:styleId="ListNumber2Level3">
    <w:name w:val="List Number 2 (Level 3)"/>
    <w:basedOn w:val="Text2"/>
    <w:rsid w:val="0003758F"/>
    <w:pPr>
      <w:numPr>
        <w:ilvl w:val="2"/>
        <w:numId w:val="4"/>
      </w:numPr>
    </w:pPr>
    <w:rPr>
      <w:rFonts w:eastAsia="Times New Roman"/>
      <w:szCs w:val="24"/>
      <w:lang w:eastAsia="de-DE"/>
    </w:rPr>
  </w:style>
  <w:style w:type="paragraph" w:customStyle="1" w:styleId="ListNumber3Level3">
    <w:name w:val="List Number 3 (Level 3)"/>
    <w:basedOn w:val="Text3"/>
    <w:rsid w:val="0003758F"/>
    <w:pPr>
      <w:numPr>
        <w:ilvl w:val="2"/>
        <w:numId w:val="5"/>
      </w:numPr>
    </w:pPr>
    <w:rPr>
      <w:rFonts w:eastAsia="Times New Roman"/>
      <w:szCs w:val="24"/>
      <w:lang w:eastAsia="de-DE"/>
    </w:rPr>
  </w:style>
  <w:style w:type="paragraph" w:customStyle="1" w:styleId="ListNumber4Level3">
    <w:name w:val="List Number 4 (Level 3)"/>
    <w:basedOn w:val="Text4"/>
    <w:rsid w:val="0003758F"/>
    <w:pPr>
      <w:numPr>
        <w:ilvl w:val="2"/>
        <w:numId w:val="6"/>
      </w:numPr>
    </w:pPr>
    <w:rPr>
      <w:rFonts w:eastAsia="Times New Roman"/>
      <w:szCs w:val="24"/>
      <w:lang w:eastAsia="de-DE"/>
    </w:rPr>
  </w:style>
  <w:style w:type="paragraph" w:customStyle="1" w:styleId="ListNumber1Level4">
    <w:name w:val="List Number 1 (Level 4)"/>
    <w:basedOn w:val="Text1"/>
    <w:rsid w:val="0003758F"/>
    <w:pPr>
      <w:numPr>
        <w:ilvl w:val="3"/>
        <w:numId w:val="3"/>
      </w:numPr>
    </w:pPr>
    <w:rPr>
      <w:rFonts w:eastAsia="Times New Roman"/>
      <w:szCs w:val="24"/>
      <w:lang w:eastAsia="de-DE"/>
    </w:rPr>
  </w:style>
  <w:style w:type="paragraph" w:customStyle="1" w:styleId="ListNumber2Level4">
    <w:name w:val="List Number 2 (Level 4)"/>
    <w:basedOn w:val="Text2"/>
    <w:rsid w:val="0003758F"/>
    <w:pPr>
      <w:numPr>
        <w:ilvl w:val="3"/>
        <w:numId w:val="4"/>
      </w:numPr>
    </w:pPr>
    <w:rPr>
      <w:rFonts w:eastAsia="Times New Roman"/>
      <w:szCs w:val="24"/>
      <w:lang w:eastAsia="de-DE"/>
    </w:rPr>
  </w:style>
  <w:style w:type="paragraph" w:customStyle="1" w:styleId="ListNumber3Level4">
    <w:name w:val="List Number 3 (Level 4)"/>
    <w:basedOn w:val="Text3"/>
    <w:rsid w:val="0003758F"/>
    <w:pPr>
      <w:numPr>
        <w:ilvl w:val="3"/>
        <w:numId w:val="5"/>
      </w:numPr>
    </w:pPr>
    <w:rPr>
      <w:rFonts w:eastAsia="Times New Roman"/>
      <w:szCs w:val="24"/>
      <w:lang w:eastAsia="de-DE"/>
    </w:rPr>
  </w:style>
  <w:style w:type="paragraph" w:customStyle="1" w:styleId="ListNumber4Level4">
    <w:name w:val="List Number 4 (Level 4)"/>
    <w:basedOn w:val="Text4"/>
    <w:rsid w:val="0003758F"/>
    <w:pPr>
      <w:numPr>
        <w:ilvl w:val="3"/>
        <w:numId w:val="6"/>
      </w:numPr>
    </w:pPr>
    <w:rPr>
      <w:rFonts w:eastAsia="Times New Roman"/>
      <w:szCs w:val="24"/>
      <w:lang w:eastAsia="de-DE"/>
    </w:rPr>
  </w:style>
  <w:style w:type="paragraph" w:customStyle="1" w:styleId="ListBullet1">
    <w:name w:val="List Bullet 1"/>
    <w:basedOn w:val="Normal"/>
    <w:rsid w:val="0003758F"/>
    <w:pPr>
      <w:numPr>
        <w:numId w:val="8"/>
      </w:numPr>
    </w:pPr>
    <w:rPr>
      <w:rFonts w:eastAsia="Times New Roman"/>
      <w:szCs w:val="24"/>
      <w:lang w:eastAsia="de-DE"/>
    </w:rPr>
  </w:style>
  <w:style w:type="paragraph" w:styleId="Punktliste2">
    <w:name w:val="List Bullet 2"/>
    <w:basedOn w:val="Normal"/>
    <w:rsid w:val="0003758F"/>
    <w:pPr>
      <w:numPr>
        <w:numId w:val="9"/>
      </w:numPr>
    </w:pPr>
    <w:rPr>
      <w:rFonts w:eastAsia="Times New Roman"/>
      <w:szCs w:val="24"/>
      <w:lang w:eastAsia="de-DE"/>
    </w:rPr>
  </w:style>
  <w:style w:type="paragraph" w:styleId="Punktliste3">
    <w:name w:val="List Bullet 3"/>
    <w:basedOn w:val="Normal"/>
    <w:rsid w:val="0003758F"/>
    <w:pPr>
      <w:numPr>
        <w:numId w:val="10"/>
      </w:numPr>
    </w:pPr>
    <w:rPr>
      <w:rFonts w:eastAsia="Times New Roman"/>
      <w:szCs w:val="24"/>
      <w:lang w:eastAsia="de-DE"/>
    </w:rPr>
  </w:style>
  <w:style w:type="paragraph" w:styleId="Punktliste4">
    <w:name w:val="List Bullet 4"/>
    <w:basedOn w:val="Normal"/>
    <w:rsid w:val="0003758F"/>
    <w:pPr>
      <w:numPr>
        <w:numId w:val="11"/>
      </w:numPr>
    </w:pPr>
    <w:rPr>
      <w:rFonts w:eastAsia="Times New Roman"/>
      <w:szCs w:val="24"/>
      <w:lang w:eastAsia="de-DE"/>
    </w:rPr>
  </w:style>
  <w:style w:type="paragraph" w:customStyle="1" w:styleId="ListDash">
    <w:name w:val="List Dash"/>
    <w:basedOn w:val="Normal"/>
    <w:rsid w:val="0003758F"/>
    <w:pPr>
      <w:numPr>
        <w:numId w:val="12"/>
      </w:numPr>
    </w:pPr>
    <w:rPr>
      <w:rFonts w:eastAsia="Times New Roman"/>
      <w:szCs w:val="24"/>
      <w:lang w:eastAsia="de-DE"/>
    </w:rPr>
  </w:style>
  <w:style w:type="paragraph" w:customStyle="1" w:styleId="ListDash1">
    <w:name w:val="List Dash 1"/>
    <w:basedOn w:val="Normal"/>
    <w:rsid w:val="0003758F"/>
    <w:pPr>
      <w:numPr>
        <w:numId w:val="13"/>
      </w:numPr>
    </w:pPr>
    <w:rPr>
      <w:rFonts w:eastAsia="Times New Roman"/>
      <w:szCs w:val="24"/>
      <w:lang w:eastAsia="de-DE"/>
    </w:rPr>
  </w:style>
  <w:style w:type="paragraph" w:customStyle="1" w:styleId="ListDash2">
    <w:name w:val="List Dash 2"/>
    <w:basedOn w:val="Normal"/>
    <w:rsid w:val="0003758F"/>
    <w:pPr>
      <w:numPr>
        <w:numId w:val="14"/>
      </w:numPr>
    </w:pPr>
    <w:rPr>
      <w:rFonts w:eastAsia="Times New Roman"/>
      <w:szCs w:val="24"/>
      <w:lang w:eastAsia="de-DE"/>
    </w:rPr>
  </w:style>
  <w:style w:type="paragraph" w:customStyle="1" w:styleId="ListDash3">
    <w:name w:val="List Dash 3"/>
    <w:basedOn w:val="Normal"/>
    <w:rsid w:val="0003758F"/>
    <w:pPr>
      <w:numPr>
        <w:numId w:val="15"/>
      </w:numPr>
    </w:pPr>
    <w:rPr>
      <w:rFonts w:eastAsia="Times New Roman"/>
      <w:szCs w:val="24"/>
      <w:lang w:eastAsia="de-DE"/>
    </w:rPr>
  </w:style>
  <w:style w:type="paragraph" w:customStyle="1" w:styleId="ListDash4">
    <w:name w:val="List Dash 4"/>
    <w:basedOn w:val="Normal"/>
    <w:rsid w:val="0003758F"/>
    <w:pPr>
      <w:numPr>
        <w:numId w:val="16"/>
      </w:numPr>
    </w:pPr>
    <w:rPr>
      <w:rFonts w:eastAsia="Times New Roman"/>
      <w:szCs w:val="24"/>
      <w:lang w:eastAsia="de-DE"/>
    </w:rPr>
  </w:style>
  <w:style w:type="paragraph" w:styleId="Dato">
    <w:name w:val="Date"/>
    <w:basedOn w:val="Normal"/>
    <w:next w:val="References"/>
    <w:link w:val="DatoTegn"/>
    <w:uiPriority w:val="99"/>
    <w:rsid w:val="0003758F"/>
    <w:pPr>
      <w:spacing w:before="0" w:after="0"/>
      <w:ind w:left="5103" w:right="-567"/>
      <w:jc w:val="left"/>
    </w:pPr>
    <w:rPr>
      <w:rFonts w:eastAsia="Times New Roman"/>
      <w:szCs w:val="20"/>
    </w:rPr>
  </w:style>
  <w:style w:type="character" w:customStyle="1" w:styleId="DatoTegn">
    <w:name w:val="Dato Tegn"/>
    <w:basedOn w:val="Standardskriftforavsnitt"/>
    <w:link w:val="Dato"/>
    <w:uiPriority w:val="99"/>
    <w:rsid w:val="0003758F"/>
    <w:rPr>
      <w:rFonts w:ascii="Times New Roman" w:eastAsia="Times New Roman" w:hAnsi="Times New Roman" w:cs="Times New Roman"/>
      <w:sz w:val="24"/>
      <w:szCs w:val="20"/>
      <w:lang w:val="en-GB"/>
    </w:rPr>
  </w:style>
  <w:style w:type="paragraph" w:customStyle="1" w:styleId="References">
    <w:name w:val="References"/>
    <w:basedOn w:val="Normal"/>
    <w:next w:val="Normal"/>
    <w:uiPriority w:val="99"/>
    <w:rsid w:val="0003758F"/>
    <w:pPr>
      <w:spacing w:before="0" w:after="240"/>
      <w:ind w:left="5103"/>
      <w:jc w:val="left"/>
    </w:pPr>
    <w:rPr>
      <w:rFonts w:eastAsia="Times New Roman"/>
      <w:sz w:val="20"/>
      <w:szCs w:val="20"/>
    </w:rPr>
  </w:style>
  <w:style w:type="paragraph" w:customStyle="1" w:styleId="ZCom">
    <w:name w:val="Z_Com"/>
    <w:basedOn w:val="Normal"/>
    <w:next w:val="ZDGName"/>
    <w:uiPriority w:val="99"/>
    <w:rsid w:val="0003758F"/>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rsid w:val="0003758F"/>
    <w:pPr>
      <w:widowControl w:val="0"/>
      <w:autoSpaceDE w:val="0"/>
      <w:autoSpaceDN w:val="0"/>
      <w:spacing w:before="0" w:after="0"/>
      <w:ind w:right="85"/>
      <w:jc w:val="left"/>
    </w:pPr>
    <w:rPr>
      <w:rFonts w:ascii="Arial" w:eastAsiaTheme="minorEastAsia" w:hAnsi="Arial" w:cs="Arial"/>
      <w:sz w:val="16"/>
      <w:szCs w:val="16"/>
      <w:lang w:eastAsia="en-GB"/>
    </w:rPr>
  </w:style>
  <w:style w:type="paragraph" w:styleId="Bildetekst">
    <w:name w:val="caption"/>
    <w:basedOn w:val="Normal"/>
    <w:next w:val="Normal"/>
    <w:uiPriority w:val="35"/>
    <w:semiHidden/>
    <w:unhideWhenUsed/>
    <w:qFormat/>
    <w:rsid w:val="001F6868"/>
    <w:pPr>
      <w:spacing w:before="0" w:after="200"/>
    </w:pPr>
    <w:rPr>
      <w:b/>
      <w:bCs/>
      <w:color w:val="4F81BD" w:themeColor="accent1"/>
      <w:sz w:val="18"/>
      <w:szCs w:val="18"/>
    </w:rPr>
  </w:style>
  <w:style w:type="paragraph" w:styleId="Figurliste">
    <w:name w:val="table of figures"/>
    <w:basedOn w:val="Normal"/>
    <w:next w:val="Normal"/>
    <w:uiPriority w:val="99"/>
    <w:semiHidden/>
    <w:unhideWhenUsed/>
    <w:rsid w:val="001F6868"/>
    <w:pPr>
      <w:spacing w:after="0"/>
    </w:pPr>
  </w:style>
  <w:style w:type="character" w:styleId="Merknadsreferanse">
    <w:name w:val="annotation reference"/>
    <w:basedOn w:val="Standardskriftforavsnitt"/>
    <w:uiPriority w:val="99"/>
    <w:semiHidden/>
    <w:unhideWhenUsed/>
    <w:rsid w:val="00554594"/>
    <w:rPr>
      <w:sz w:val="16"/>
      <w:szCs w:val="16"/>
    </w:rPr>
  </w:style>
  <w:style w:type="paragraph" w:styleId="Merknadstekst">
    <w:name w:val="annotation text"/>
    <w:basedOn w:val="Normal"/>
    <w:link w:val="MerknadstekstTegn"/>
    <w:uiPriority w:val="99"/>
    <w:semiHidden/>
    <w:unhideWhenUsed/>
    <w:rsid w:val="00554594"/>
    <w:rPr>
      <w:sz w:val="20"/>
      <w:szCs w:val="20"/>
    </w:rPr>
  </w:style>
  <w:style w:type="character" w:customStyle="1" w:styleId="MerknadstekstTegn">
    <w:name w:val="Merknadstekst Tegn"/>
    <w:basedOn w:val="Standardskriftforavsnitt"/>
    <w:link w:val="Merknadstekst"/>
    <w:uiPriority w:val="99"/>
    <w:semiHidden/>
    <w:rsid w:val="00554594"/>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554594"/>
    <w:rPr>
      <w:b/>
      <w:bCs/>
    </w:rPr>
  </w:style>
  <w:style w:type="character" w:customStyle="1" w:styleId="KommentaremneTegn">
    <w:name w:val="Kommentaremne Tegn"/>
    <w:basedOn w:val="MerknadstekstTegn"/>
    <w:link w:val="Kommentaremne"/>
    <w:uiPriority w:val="99"/>
    <w:semiHidden/>
    <w:rsid w:val="00554594"/>
    <w:rPr>
      <w:rFonts w:ascii="Times New Roman" w:hAnsi="Times New Roman" w:cs="Times New Roman"/>
      <w:b/>
      <w:bCs/>
      <w:sz w:val="20"/>
      <w:szCs w:val="20"/>
      <w:lang w:val="en-GB"/>
    </w:rPr>
  </w:style>
  <w:style w:type="character" w:styleId="Hyperkobling">
    <w:name w:val="Hyperlink"/>
    <w:basedOn w:val="Standardskriftforavsnitt"/>
    <w:uiPriority w:val="99"/>
    <w:unhideWhenUsed/>
    <w:rsid w:val="00554594"/>
    <w:rPr>
      <w:color w:val="0000FF" w:themeColor="hyperlink"/>
      <w:u w:val="single"/>
    </w:rPr>
  </w:style>
  <w:style w:type="paragraph" w:styleId="Revisjon">
    <w:name w:val="Revision"/>
    <w:hidden/>
    <w:uiPriority w:val="99"/>
    <w:semiHidden/>
    <w:rsid w:val="00116FFD"/>
    <w:pPr>
      <w:spacing w:after="0" w:line="240" w:lineRule="auto"/>
    </w:pPr>
    <w:rPr>
      <w:rFonts w:ascii="Times New Roman" w:hAnsi="Times New Roman" w:cs="Times New Roman"/>
      <w:sz w:val="24"/>
      <w:lang w:val="en-GB"/>
    </w:rPr>
  </w:style>
  <w:style w:type="paragraph" w:styleId="Topptekst">
    <w:name w:val="header"/>
    <w:basedOn w:val="Normal"/>
    <w:link w:val="TopptekstTegn"/>
    <w:uiPriority w:val="99"/>
    <w:unhideWhenUsed/>
    <w:rsid w:val="007D53B6"/>
    <w:pPr>
      <w:tabs>
        <w:tab w:val="center" w:pos="4535"/>
        <w:tab w:val="right" w:pos="9071"/>
      </w:tabs>
      <w:spacing w:before="0"/>
    </w:pPr>
  </w:style>
  <w:style w:type="character" w:customStyle="1" w:styleId="TopptekstTegn">
    <w:name w:val="Topptekst Tegn"/>
    <w:basedOn w:val="Standardskriftforavsnitt"/>
    <w:link w:val="Topptekst"/>
    <w:uiPriority w:val="99"/>
    <w:rsid w:val="007D53B6"/>
    <w:rPr>
      <w:rFonts w:ascii="Times New Roman" w:hAnsi="Times New Roman" w:cs="Times New Roman"/>
      <w:sz w:val="24"/>
      <w:shd w:val="clear" w:color="auto" w:fill="auto"/>
      <w:lang w:val="en-GB"/>
    </w:rPr>
  </w:style>
  <w:style w:type="paragraph" w:styleId="Bunntekst">
    <w:name w:val="footer"/>
    <w:basedOn w:val="Normal"/>
    <w:link w:val="BunntekstTegn"/>
    <w:uiPriority w:val="99"/>
    <w:unhideWhenUsed/>
    <w:rsid w:val="007D53B6"/>
    <w:pPr>
      <w:tabs>
        <w:tab w:val="center" w:pos="4535"/>
        <w:tab w:val="right" w:pos="9071"/>
        <w:tab w:val="right" w:pos="9921"/>
      </w:tabs>
      <w:spacing w:before="360" w:after="0"/>
      <w:ind w:left="-850" w:right="-850"/>
      <w:jc w:val="left"/>
    </w:pPr>
  </w:style>
  <w:style w:type="character" w:customStyle="1" w:styleId="BunntekstTegn">
    <w:name w:val="Bunntekst Tegn"/>
    <w:basedOn w:val="Standardskriftforavsnitt"/>
    <w:link w:val="Bunntekst"/>
    <w:uiPriority w:val="99"/>
    <w:rsid w:val="007D53B6"/>
    <w:rPr>
      <w:rFonts w:ascii="Times New Roman" w:hAnsi="Times New Roman" w:cs="Times New Roman"/>
      <w:sz w:val="24"/>
      <w:shd w:val="clear" w:color="auto" w:fill="auto"/>
      <w:lang w:val="en-GB"/>
    </w:rPr>
  </w:style>
  <w:style w:type="paragraph" w:styleId="Fotnotetekst">
    <w:name w:val="footnote text"/>
    <w:basedOn w:val="Normal"/>
    <w:link w:val="FotnotetekstTegn"/>
    <w:uiPriority w:val="99"/>
    <w:semiHidden/>
    <w:unhideWhenUsed/>
    <w:rsid w:val="007D53B6"/>
    <w:pPr>
      <w:spacing w:before="0" w:after="0"/>
      <w:ind w:left="720" w:hanging="720"/>
    </w:pPr>
    <w:rPr>
      <w:sz w:val="20"/>
      <w:szCs w:val="20"/>
    </w:rPr>
  </w:style>
  <w:style w:type="character" w:customStyle="1" w:styleId="FotnotetekstTegn">
    <w:name w:val="Fotnotetekst Tegn"/>
    <w:basedOn w:val="Standardskriftforavsnitt"/>
    <w:link w:val="Fotnotetekst"/>
    <w:uiPriority w:val="99"/>
    <w:semiHidden/>
    <w:rsid w:val="007D53B6"/>
    <w:rPr>
      <w:rFonts w:ascii="Times New Roman" w:hAnsi="Times New Roman" w:cs="Times New Roman"/>
      <w:sz w:val="20"/>
      <w:szCs w:val="20"/>
      <w:shd w:val="clear" w:color="auto" w:fill="auto"/>
      <w:lang w:val="en-GB"/>
    </w:rPr>
  </w:style>
  <w:style w:type="character" w:customStyle="1" w:styleId="Overskrift1Tegn">
    <w:name w:val="Overskrift 1 Tegn"/>
    <w:basedOn w:val="Standardskriftforavsnitt"/>
    <w:link w:val="Overskrift1"/>
    <w:uiPriority w:val="9"/>
    <w:rsid w:val="007D53B6"/>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sid w:val="007D53B6"/>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sid w:val="007D53B6"/>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sid w:val="007D53B6"/>
    <w:rPr>
      <w:rFonts w:ascii="Times New Roman" w:eastAsiaTheme="majorEastAsia" w:hAnsi="Times New Roman" w:cs="Times New Roman"/>
      <w:bCs/>
      <w:iCs/>
      <w:sz w:val="24"/>
      <w:lang w:val="en-GB"/>
    </w:rPr>
  </w:style>
  <w:style w:type="paragraph" w:styleId="Overskriftforinnholdsfortegnelse">
    <w:name w:val="TOC Heading"/>
    <w:basedOn w:val="Normal"/>
    <w:next w:val="Normal"/>
    <w:uiPriority w:val="39"/>
    <w:semiHidden/>
    <w:unhideWhenUsed/>
    <w:qFormat/>
    <w:rsid w:val="007D53B6"/>
    <w:pPr>
      <w:spacing w:after="240"/>
      <w:jc w:val="center"/>
    </w:pPr>
    <w:rPr>
      <w:b/>
      <w:sz w:val="28"/>
    </w:rPr>
  </w:style>
  <w:style w:type="paragraph" w:styleId="INNH1">
    <w:name w:val="toc 1"/>
    <w:basedOn w:val="Normal"/>
    <w:next w:val="Normal"/>
    <w:uiPriority w:val="39"/>
    <w:semiHidden/>
    <w:unhideWhenUsed/>
    <w:rsid w:val="007D53B6"/>
    <w:pPr>
      <w:tabs>
        <w:tab w:val="right" w:leader="dot" w:pos="9071"/>
      </w:tabs>
      <w:spacing w:before="60"/>
      <w:ind w:left="850" w:hanging="850"/>
      <w:jc w:val="left"/>
    </w:pPr>
  </w:style>
  <w:style w:type="paragraph" w:styleId="INNH2">
    <w:name w:val="toc 2"/>
    <w:basedOn w:val="Normal"/>
    <w:next w:val="Normal"/>
    <w:uiPriority w:val="39"/>
    <w:semiHidden/>
    <w:unhideWhenUsed/>
    <w:rsid w:val="007D53B6"/>
    <w:pPr>
      <w:tabs>
        <w:tab w:val="right" w:leader="dot" w:pos="9071"/>
      </w:tabs>
      <w:spacing w:before="60"/>
      <w:ind w:left="850" w:hanging="850"/>
      <w:jc w:val="left"/>
    </w:pPr>
  </w:style>
  <w:style w:type="paragraph" w:styleId="INNH3">
    <w:name w:val="toc 3"/>
    <w:basedOn w:val="Normal"/>
    <w:next w:val="Normal"/>
    <w:uiPriority w:val="39"/>
    <w:semiHidden/>
    <w:unhideWhenUsed/>
    <w:rsid w:val="007D53B6"/>
    <w:pPr>
      <w:tabs>
        <w:tab w:val="right" w:leader="dot" w:pos="9071"/>
      </w:tabs>
      <w:spacing w:before="60"/>
      <w:ind w:left="850" w:hanging="850"/>
      <w:jc w:val="left"/>
    </w:pPr>
  </w:style>
  <w:style w:type="paragraph" w:styleId="INNH4">
    <w:name w:val="toc 4"/>
    <w:basedOn w:val="Normal"/>
    <w:next w:val="Normal"/>
    <w:uiPriority w:val="39"/>
    <w:semiHidden/>
    <w:unhideWhenUsed/>
    <w:rsid w:val="007D53B6"/>
    <w:pPr>
      <w:tabs>
        <w:tab w:val="right" w:leader="dot" w:pos="9071"/>
      </w:tabs>
      <w:spacing w:before="60"/>
      <w:ind w:left="850" w:hanging="850"/>
      <w:jc w:val="left"/>
    </w:pPr>
  </w:style>
  <w:style w:type="paragraph" w:styleId="INNH5">
    <w:name w:val="toc 5"/>
    <w:basedOn w:val="Normal"/>
    <w:next w:val="Normal"/>
    <w:uiPriority w:val="39"/>
    <w:semiHidden/>
    <w:unhideWhenUsed/>
    <w:rsid w:val="007D53B6"/>
    <w:pPr>
      <w:tabs>
        <w:tab w:val="right" w:leader="dot" w:pos="9071"/>
      </w:tabs>
      <w:spacing w:before="300"/>
      <w:jc w:val="left"/>
    </w:pPr>
  </w:style>
  <w:style w:type="paragraph" w:styleId="INNH6">
    <w:name w:val="toc 6"/>
    <w:basedOn w:val="Normal"/>
    <w:next w:val="Normal"/>
    <w:uiPriority w:val="39"/>
    <w:semiHidden/>
    <w:unhideWhenUsed/>
    <w:rsid w:val="007D53B6"/>
    <w:pPr>
      <w:tabs>
        <w:tab w:val="right" w:leader="dot" w:pos="9071"/>
      </w:tabs>
      <w:spacing w:before="240"/>
      <w:jc w:val="left"/>
    </w:pPr>
  </w:style>
  <w:style w:type="paragraph" w:styleId="INNH7">
    <w:name w:val="toc 7"/>
    <w:basedOn w:val="Normal"/>
    <w:next w:val="Normal"/>
    <w:uiPriority w:val="39"/>
    <w:semiHidden/>
    <w:unhideWhenUsed/>
    <w:rsid w:val="007D53B6"/>
    <w:pPr>
      <w:tabs>
        <w:tab w:val="right" w:leader="dot" w:pos="9071"/>
      </w:tabs>
      <w:spacing w:before="180"/>
      <w:jc w:val="left"/>
    </w:pPr>
  </w:style>
  <w:style w:type="paragraph" w:styleId="INNH8">
    <w:name w:val="toc 8"/>
    <w:basedOn w:val="Normal"/>
    <w:next w:val="Normal"/>
    <w:uiPriority w:val="39"/>
    <w:semiHidden/>
    <w:unhideWhenUsed/>
    <w:rsid w:val="007D53B6"/>
    <w:pPr>
      <w:tabs>
        <w:tab w:val="right" w:leader="dot" w:pos="9071"/>
      </w:tabs>
      <w:jc w:val="left"/>
    </w:pPr>
  </w:style>
  <w:style w:type="paragraph" w:styleId="INNH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tnotereferanse">
    <w:name w:val="footnote reference"/>
    <w:basedOn w:val="Standardskriftforavsnit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Overskrift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Standardskriftforavsnitt"/>
    <w:rsid w:val="007D53B6"/>
    <w:rPr>
      <w:color w:val="0000FF"/>
      <w:shd w:val="clear" w:color="auto" w:fill="auto"/>
    </w:rPr>
  </w:style>
  <w:style w:type="character" w:customStyle="1" w:styleId="Marker1">
    <w:name w:val="Marker1"/>
    <w:basedOn w:val="Standardskriftforavsnitt"/>
    <w:rsid w:val="007D53B6"/>
    <w:rPr>
      <w:color w:val="008000"/>
      <w:shd w:val="clear" w:color="auto" w:fill="auto"/>
    </w:rPr>
  </w:style>
  <w:style w:type="character" w:customStyle="1" w:styleId="Marker2">
    <w:name w:val="Marker2"/>
    <w:basedOn w:val="Standardskriftforavsnit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Standardskriftforavsnitt"/>
    <w:rsid w:val="007D53B6"/>
    <w:rPr>
      <w:b/>
      <w:u w:val="single"/>
      <w:shd w:val="clear" w:color="auto" w:fill="auto"/>
    </w:rPr>
  </w:style>
  <w:style w:type="character" w:customStyle="1" w:styleId="Deleted">
    <w:name w:val="Deleted"/>
    <w:basedOn w:val="Standardskriftforavsnit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1842-48D1-4635-A5C7-5D4B4277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3314</Words>
  <Characters>17565</Characters>
  <Application>Microsoft Office Word</Application>
  <DocSecurity>4</DocSecurity>
  <Lines>146</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Seldal Tale Helen</cp:lastModifiedBy>
  <cp:revision>2</cp:revision>
  <cp:lastPrinted>2015-09-30T13:38:00Z</cp:lastPrinted>
  <dcterms:created xsi:type="dcterms:W3CDTF">2016-06-24T07:36:00Z</dcterms:created>
  <dcterms:modified xsi:type="dcterms:W3CDTF">2016-06-24T07:36:00Z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Green (DQC version 03)</vt:lpwstr>
  </property>
</Properties>
</file>